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2" w:rsidRDefault="00023774" w:rsidP="008A771C">
      <w:pPr>
        <w:spacing w:after="120" w:line="240" w:lineRule="exact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>Treść przepisu specjalnego 665”</w:t>
      </w:r>
    </w:p>
    <w:p w:rsidR="00023774" w:rsidRPr="008A771C" w:rsidRDefault="00023774" w:rsidP="008A771C">
      <w:pPr>
        <w:spacing w:after="120" w:line="24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310CD2" w:rsidRPr="008A771C" w:rsidRDefault="00023774" w:rsidP="00023774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„665</w:t>
      </w:r>
      <w:r w:rsidR="00310CD2" w:rsidRPr="008A771C">
        <w:rPr>
          <w:rFonts w:ascii="Arial" w:hAnsi="Arial" w:cs="Arial"/>
          <w:sz w:val="20"/>
          <w:szCs w:val="20"/>
          <w:lang w:val="pl-PL"/>
        </w:rPr>
        <w:tab/>
        <w:t>W</w:t>
      </w:r>
      <w:r w:rsidR="00683B3D">
        <w:rPr>
          <w:rFonts w:ascii="Arial" w:hAnsi="Arial" w:cs="Arial"/>
          <w:sz w:val="20"/>
          <w:szCs w:val="20"/>
          <w:lang w:val="pl-PL"/>
        </w:rPr>
        <w:t xml:space="preserve">ęgiel kamienny, koks i antracyt, spełniające kryteria klasyfikacyjne dla klasy 4.2, grupa pakowania III mogą być również </w:t>
      </w:r>
      <w:r w:rsidR="008A771C">
        <w:rPr>
          <w:rFonts w:ascii="Arial" w:hAnsi="Arial" w:cs="Arial"/>
          <w:sz w:val="20"/>
          <w:szCs w:val="20"/>
          <w:lang w:val="pl-PL"/>
        </w:rPr>
        <w:t xml:space="preserve">przewożone </w:t>
      </w:r>
      <w:r w:rsidR="00310CD2" w:rsidRPr="008A771C">
        <w:rPr>
          <w:rFonts w:ascii="Arial" w:hAnsi="Arial" w:cs="Arial"/>
          <w:sz w:val="20"/>
          <w:szCs w:val="20"/>
          <w:lang w:val="pl-PL"/>
        </w:rPr>
        <w:t xml:space="preserve">w odkrytych wagonach </w:t>
      </w:r>
      <w:r w:rsidR="0005377D">
        <w:rPr>
          <w:rFonts w:ascii="Arial" w:hAnsi="Arial" w:cs="Arial"/>
          <w:sz w:val="20"/>
          <w:szCs w:val="20"/>
          <w:lang w:val="pl-PL"/>
        </w:rPr>
        <w:t>lub kontenerach</w:t>
      </w:r>
      <w:r w:rsidR="00310CD2" w:rsidRPr="008A771C">
        <w:rPr>
          <w:rFonts w:ascii="Arial" w:hAnsi="Arial" w:cs="Arial"/>
          <w:sz w:val="20"/>
          <w:szCs w:val="20"/>
          <w:lang w:val="pl-PL"/>
        </w:rPr>
        <w:t>, pod warunkiem że</w:t>
      </w:r>
      <w:r w:rsidR="008A771C">
        <w:rPr>
          <w:rFonts w:ascii="Arial" w:hAnsi="Arial" w:cs="Arial"/>
          <w:sz w:val="20"/>
          <w:szCs w:val="20"/>
          <w:lang w:val="pl-PL"/>
        </w:rPr>
        <w:t>:</w:t>
      </w:r>
      <w:r w:rsidR="00310CD2" w:rsidRPr="008A771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A553F" w:rsidRDefault="00310CD2" w:rsidP="00023774">
      <w:pPr>
        <w:spacing w:after="120"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A771C">
        <w:rPr>
          <w:rFonts w:ascii="Arial" w:hAnsi="Arial" w:cs="Arial"/>
          <w:sz w:val="20"/>
          <w:szCs w:val="20"/>
          <w:lang w:val="pl-PL"/>
        </w:rPr>
        <w:t>(a)</w:t>
      </w:r>
      <w:r w:rsidRPr="008A771C">
        <w:rPr>
          <w:rFonts w:ascii="Arial" w:hAnsi="Arial" w:cs="Arial"/>
          <w:sz w:val="20"/>
          <w:szCs w:val="20"/>
          <w:lang w:val="pl-PL"/>
        </w:rPr>
        <w:tab/>
      </w:r>
      <w:r w:rsidR="00683B3D" w:rsidRPr="008A771C">
        <w:rPr>
          <w:rFonts w:ascii="Arial" w:hAnsi="Arial" w:cs="Arial"/>
          <w:sz w:val="20"/>
          <w:szCs w:val="20"/>
          <w:lang w:val="pl-PL"/>
        </w:rPr>
        <w:t xml:space="preserve">węgiel jest ładowany bezpośrednio z miejsca wydobycia do wagonów </w:t>
      </w:r>
      <w:r w:rsidR="00EA553F">
        <w:rPr>
          <w:rFonts w:ascii="Arial" w:hAnsi="Arial" w:cs="Arial"/>
          <w:sz w:val="20"/>
          <w:szCs w:val="20"/>
          <w:lang w:val="pl-PL"/>
        </w:rPr>
        <w:t>lub kontenerów (</w:t>
      </w:r>
      <w:r w:rsidR="00683B3D" w:rsidRPr="008A771C">
        <w:rPr>
          <w:rFonts w:ascii="Arial" w:hAnsi="Arial" w:cs="Arial"/>
          <w:sz w:val="20"/>
          <w:szCs w:val="20"/>
          <w:lang w:val="pl-PL"/>
        </w:rPr>
        <w:t>bez mierzenia temperatury</w:t>
      </w:r>
      <w:r w:rsidR="00EA553F">
        <w:rPr>
          <w:rFonts w:ascii="Arial" w:hAnsi="Arial" w:cs="Arial"/>
          <w:sz w:val="20"/>
          <w:szCs w:val="20"/>
          <w:lang w:val="pl-PL"/>
        </w:rPr>
        <w:t>), lub</w:t>
      </w:r>
    </w:p>
    <w:p w:rsidR="003A18EC" w:rsidRDefault="00EA553F" w:rsidP="00023774">
      <w:pPr>
        <w:spacing w:after="120"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(b)</w:t>
      </w:r>
      <w:r>
        <w:rPr>
          <w:rFonts w:ascii="Arial" w:hAnsi="Arial" w:cs="Arial"/>
          <w:sz w:val="20"/>
          <w:szCs w:val="20"/>
          <w:lang w:val="pl-PL"/>
        </w:rPr>
        <w:tab/>
      </w:r>
      <w:r w:rsidR="00310CD2" w:rsidRPr="008A771C">
        <w:rPr>
          <w:rFonts w:ascii="Arial" w:hAnsi="Arial" w:cs="Arial"/>
          <w:sz w:val="20"/>
          <w:szCs w:val="20"/>
          <w:lang w:val="pl-PL"/>
        </w:rPr>
        <w:t>temperatura ładunku</w:t>
      </w:r>
      <w:r>
        <w:rPr>
          <w:rFonts w:ascii="Arial" w:hAnsi="Arial" w:cs="Arial"/>
          <w:sz w:val="20"/>
          <w:szCs w:val="20"/>
          <w:lang w:val="pl-PL"/>
        </w:rPr>
        <w:t xml:space="preserve"> nie przekracza </w:t>
      </w:r>
      <w:r w:rsidR="00310CD2" w:rsidRPr="008A771C">
        <w:rPr>
          <w:rFonts w:ascii="Arial" w:hAnsi="Arial" w:cs="Arial"/>
          <w:sz w:val="20"/>
          <w:szCs w:val="20"/>
          <w:lang w:val="pl-PL"/>
        </w:rPr>
        <w:t xml:space="preserve">60°C </w:t>
      </w:r>
      <w:r>
        <w:rPr>
          <w:rFonts w:ascii="Arial" w:hAnsi="Arial" w:cs="Arial"/>
          <w:sz w:val="20"/>
          <w:szCs w:val="20"/>
          <w:lang w:val="pl-PL"/>
        </w:rPr>
        <w:t xml:space="preserve">podczas lub natychmiast </w:t>
      </w:r>
      <w:r w:rsidR="000B1823">
        <w:rPr>
          <w:rFonts w:ascii="Arial" w:hAnsi="Arial" w:cs="Arial"/>
          <w:sz w:val="20"/>
          <w:szCs w:val="20"/>
          <w:lang w:val="pl-PL"/>
        </w:rPr>
        <w:t xml:space="preserve">po </w:t>
      </w:r>
      <w:r>
        <w:rPr>
          <w:rFonts w:ascii="Arial" w:hAnsi="Arial" w:cs="Arial"/>
          <w:sz w:val="20"/>
          <w:szCs w:val="20"/>
          <w:lang w:val="pl-PL"/>
        </w:rPr>
        <w:t xml:space="preserve">załadunku do wagonu lub kontenera. Stosując właściwe metody pomiaru, napełniający powinien </w:t>
      </w:r>
      <w:r w:rsidR="003A18EC">
        <w:rPr>
          <w:rFonts w:ascii="Arial" w:hAnsi="Arial" w:cs="Arial"/>
          <w:sz w:val="20"/>
          <w:szCs w:val="20"/>
          <w:lang w:val="pl-PL"/>
        </w:rPr>
        <w:t xml:space="preserve">upewnić się, że </w:t>
      </w:r>
      <w:r>
        <w:rPr>
          <w:rFonts w:ascii="Arial" w:hAnsi="Arial" w:cs="Arial"/>
          <w:sz w:val="20"/>
          <w:szCs w:val="20"/>
          <w:lang w:val="pl-PL"/>
        </w:rPr>
        <w:t xml:space="preserve">maksymalna dopuszczalna temperatura ładunku </w:t>
      </w:r>
      <w:r w:rsidR="000B1823">
        <w:rPr>
          <w:rFonts w:ascii="Arial" w:hAnsi="Arial" w:cs="Arial"/>
          <w:sz w:val="20"/>
          <w:szCs w:val="20"/>
          <w:lang w:val="pl-PL"/>
        </w:rPr>
        <w:t xml:space="preserve">podczas lub natychmiast po załadunku wagonów lub kontenerów </w:t>
      </w:r>
      <w:r>
        <w:rPr>
          <w:rFonts w:ascii="Arial" w:hAnsi="Arial" w:cs="Arial"/>
          <w:sz w:val="20"/>
          <w:szCs w:val="20"/>
          <w:lang w:val="pl-PL"/>
        </w:rPr>
        <w:t>nie została przekroczona</w:t>
      </w:r>
      <w:r w:rsidR="003A18EC">
        <w:rPr>
          <w:rFonts w:ascii="Arial" w:hAnsi="Arial" w:cs="Arial"/>
          <w:sz w:val="20"/>
          <w:szCs w:val="20"/>
          <w:lang w:val="pl-PL"/>
        </w:rPr>
        <w:t xml:space="preserve"> i powyższe udokumentować.</w:t>
      </w:r>
    </w:p>
    <w:p w:rsidR="000B1823" w:rsidRDefault="003A18EC" w:rsidP="00023774">
      <w:pPr>
        <w:spacing w:after="120" w:line="360" w:lineRule="auto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Nadawca powinien zapewnić, aby w dokumencie </w:t>
      </w:r>
      <w:r w:rsidR="00016DE6">
        <w:rPr>
          <w:rFonts w:ascii="Arial" w:hAnsi="Arial" w:cs="Arial"/>
          <w:sz w:val="20"/>
          <w:szCs w:val="20"/>
          <w:lang w:val="pl-PL"/>
        </w:rPr>
        <w:t>towarzyszącym przesyłce (takim jak</w:t>
      </w:r>
      <w:r w:rsidR="000B1823">
        <w:rPr>
          <w:rFonts w:ascii="Arial" w:hAnsi="Arial" w:cs="Arial"/>
          <w:sz w:val="20"/>
          <w:szCs w:val="20"/>
          <w:lang w:val="pl-PL"/>
        </w:rPr>
        <w:t>:</w:t>
      </w:r>
      <w:r w:rsidR="00016DE6">
        <w:rPr>
          <w:rFonts w:ascii="Arial" w:hAnsi="Arial" w:cs="Arial"/>
          <w:sz w:val="20"/>
          <w:szCs w:val="20"/>
          <w:lang w:val="pl-PL"/>
        </w:rPr>
        <w:t xml:space="preserve"> konosament, </w:t>
      </w:r>
      <w:r w:rsidR="00016DE6" w:rsidRPr="00016DE6">
        <w:rPr>
          <w:rFonts w:ascii="Arial" w:hAnsi="Arial" w:cs="Arial"/>
          <w:sz w:val="20"/>
          <w:szCs w:val="20"/>
          <w:lang w:val="pl-PL"/>
        </w:rPr>
        <w:t>dokument ładunkowy lub list przewozowy CMR/CIM</w:t>
      </w:r>
      <w:r w:rsidR="000B1823">
        <w:rPr>
          <w:rFonts w:ascii="Arial" w:hAnsi="Arial" w:cs="Arial"/>
          <w:sz w:val="20"/>
          <w:szCs w:val="20"/>
          <w:lang w:val="pl-PL"/>
        </w:rPr>
        <w:t>) znajdowało następujące stwierdzenie:</w:t>
      </w:r>
    </w:p>
    <w:p w:rsidR="003A18EC" w:rsidRPr="008A771C" w:rsidRDefault="00E6667B" w:rsidP="00023774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„PRZEWÓZ ZGODNY Z PRZEPISEM SPECJALNYM 665 RID</w:t>
      </w:r>
      <w:r w:rsidR="000B1823">
        <w:rPr>
          <w:rFonts w:ascii="Arial" w:hAnsi="Arial" w:cs="Arial"/>
          <w:sz w:val="20"/>
          <w:szCs w:val="20"/>
          <w:lang w:val="pl-PL"/>
        </w:rPr>
        <w:t>”</w:t>
      </w:r>
      <w:r w:rsidR="00016DE6">
        <w:rPr>
          <w:rFonts w:ascii="Arial" w:hAnsi="Arial" w:cs="Arial"/>
          <w:sz w:val="20"/>
          <w:szCs w:val="20"/>
          <w:lang w:val="pl-PL"/>
        </w:rPr>
        <w:t xml:space="preserve"> </w:t>
      </w:r>
      <w:r w:rsidR="003A18EC">
        <w:rPr>
          <w:rFonts w:ascii="Arial" w:hAnsi="Arial" w:cs="Arial"/>
          <w:sz w:val="20"/>
          <w:szCs w:val="20"/>
          <w:lang w:val="pl-PL"/>
        </w:rPr>
        <w:t xml:space="preserve">  </w:t>
      </w:r>
    </w:p>
    <w:p w:rsidR="00310CD2" w:rsidRDefault="00310CD2" w:rsidP="00023774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8A771C">
        <w:rPr>
          <w:rFonts w:ascii="Arial" w:hAnsi="Arial" w:cs="Arial"/>
          <w:sz w:val="20"/>
          <w:szCs w:val="20"/>
          <w:lang w:val="pl-PL"/>
        </w:rPr>
        <w:t>Pozostałe przepisy RID nie mają zastosowania.</w:t>
      </w:r>
      <w:r w:rsidR="00023774">
        <w:rPr>
          <w:rFonts w:ascii="Arial" w:hAnsi="Arial" w:cs="Arial"/>
          <w:sz w:val="20"/>
          <w:szCs w:val="20"/>
          <w:lang w:val="pl-PL"/>
        </w:rPr>
        <w:t>”</w:t>
      </w:r>
    </w:p>
    <w:p w:rsidR="00023774" w:rsidRDefault="00023774" w:rsidP="00023774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</w:p>
    <w:p w:rsidR="00023774" w:rsidRPr="008A771C" w:rsidRDefault="00023774" w:rsidP="00023774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Powyższy przepis specjalny 665 zostanie wstawiony w tabeli A dla pozycji UN 1361 i 3088 w kolumnie (6) dla grupy pakowania III.</w:t>
      </w:r>
    </w:p>
    <w:p w:rsidR="00310CD2" w:rsidRPr="008A771C" w:rsidRDefault="00310CD2" w:rsidP="00023774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</w:p>
    <w:p w:rsidR="00310CD2" w:rsidRPr="00310CD2" w:rsidRDefault="00310CD2" w:rsidP="00310CD2">
      <w:pPr>
        <w:spacing w:line="360" w:lineRule="auto"/>
        <w:ind w:left="709" w:hanging="709"/>
        <w:jc w:val="both"/>
        <w:rPr>
          <w:lang w:val="pl-PL"/>
        </w:rPr>
      </w:pPr>
    </w:p>
    <w:p w:rsidR="00310CD2" w:rsidRPr="00310CD2" w:rsidRDefault="00310CD2" w:rsidP="00310CD2">
      <w:pPr>
        <w:rPr>
          <w:lang w:val="pl-PL"/>
        </w:rPr>
      </w:pPr>
    </w:p>
    <w:p w:rsidR="00310CD2" w:rsidRPr="00310CD2" w:rsidRDefault="00310CD2" w:rsidP="00310CD2">
      <w:pPr>
        <w:rPr>
          <w:lang w:val="pl-PL"/>
        </w:rPr>
      </w:pPr>
    </w:p>
    <w:p w:rsidR="00E6667B" w:rsidRPr="00E6667B" w:rsidRDefault="008A771C" w:rsidP="00E6667B">
      <w:pPr>
        <w:spacing w:before="120" w:after="12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lang w:eastAsia="nl-NL"/>
        </w:rPr>
        <w:br w:type="page"/>
      </w:r>
      <w:r w:rsidR="00E6667B" w:rsidRPr="00E6667B">
        <w:rPr>
          <w:rFonts w:ascii="Arial" w:hAnsi="Arial" w:cs="Arial"/>
          <w:sz w:val="20"/>
          <w:szCs w:val="20"/>
          <w:lang w:val="en-GB"/>
        </w:rPr>
        <w:lastRenderedPageBreak/>
        <w:t>Special provision 665</w:t>
      </w:r>
    </w:p>
    <w:p w:rsidR="00683B3D" w:rsidRDefault="00683B3D" w:rsidP="000B1823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0B1823">
        <w:rPr>
          <w:rFonts w:ascii="Arial" w:hAnsi="Arial" w:cs="Arial"/>
          <w:sz w:val="20"/>
          <w:szCs w:val="20"/>
          <w:lang w:val="en-GB"/>
        </w:rPr>
        <w:t>.</w:t>
      </w:r>
    </w:p>
    <w:p w:rsidR="000B1823" w:rsidRPr="000B1823" w:rsidRDefault="000B1823" w:rsidP="000B1823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683B3D" w:rsidRPr="000B1823" w:rsidRDefault="00E6667B" w:rsidP="00E6667B">
      <w:pPr>
        <w:spacing w:before="240"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E6667B">
        <w:rPr>
          <w:rFonts w:ascii="Arial" w:hAnsi="Arial" w:cs="Arial"/>
          <w:sz w:val="20"/>
          <w:szCs w:val="20"/>
          <w:lang w:val="en-GB"/>
        </w:rPr>
        <w:t>“</w:t>
      </w:r>
      <w:r w:rsidRPr="00E6667B">
        <w:rPr>
          <w:rFonts w:ascii="Arial" w:hAnsi="Arial" w:cs="Arial"/>
          <w:b/>
          <w:sz w:val="20"/>
          <w:szCs w:val="20"/>
          <w:lang w:val="en-GB"/>
        </w:rPr>
        <w:t>665</w:t>
      </w:r>
      <w:r w:rsidR="00683B3D" w:rsidRPr="000B1823">
        <w:rPr>
          <w:rFonts w:ascii="Arial" w:hAnsi="Arial" w:cs="Arial"/>
          <w:sz w:val="20"/>
          <w:szCs w:val="20"/>
          <w:lang w:val="en-GB"/>
        </w:rPr>
        <w:t xml:space="preserve"> </w:t>
      </w:r>
      <w:r w:rsidR="000B1823" w:rsidRPr="000B1823">
        <w:rPr>
          <w:rFonts w:ascii="Arial" w:hAnsi="Arial" w:cs="Arial"/>
          <w:sz w:val="20"/>
          <w:szCs w:val="20"/>
          <w:lang w:val="en-GB"/>
        </w:rPr>
        <w:tab/>
      </w:r>
      <w:r w:rsidR="00683B3D" w:rsidRPr="000B1823">
        <w:rPr>
          <w:rFonts w:ascii="Arial" w:hAnsi="Arial" w:cs="Arial"/>
          <w:sz w:val="20"/>
          <w:szCs w:val="20"/>
          <w:lang w:val="en-GB"/>
        </w:rPr>
        <w:t>When carried in bulk, hard coal, coke and anthracite, meeting the classification criteria of Class 4.2, packing group III may also be carried in open wagons or containers, provided that</w:t>
      </w:r>
    </w:p>
    <w:p w:rsidR="00683B3D" w:rsidRPr="00872ACE" w:rsidRDefault="00683B3D" w:rsidP="00E6667B">
      <w:p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72ACE">
        <w:rPr>
          <w:rFonts w:ascii="Arial" w:hAnsi="Arial" w:cs="Arial"/>
          <w:sz w:val="20"/>
          <w:szCs w:val="20"/>
          <w:lang w:val="en-GB"/>
        </w:rPr>
        <w:t>(a)</w:t>
      </w:r>
      <w:r w:rsidR="00872ACE" w:rsidRPr="00872ACE">
        <w:rPr>
          <w:rFonts w:ascii="Arial" w:hAnsi="Arial" w:cs="Arial"/>
          <w:sz w:val="20"/>
          <w:szCs w:val="20"/>
          <w:lang w:val="en-GB"/>
        </w:rPr>
        <w:tab/>
      </w:r>
      <w:r w:rsidRPr="00872ACE">
        <w:rPr>
          <w:rFonts w:ascii="Arial" w:hAnsi="Arial" w:cs="Arial"/>
          <w:sz w:val="20"/>
          <w:szCs w:val="20"/>
          <w:lang w:val="en-GB"/>
        </w:rPr>
        <w:t>The coal is conveyed from fresh extraction directly into the wagon or container (without measuring the temperature) or</w:t>
      </w:r>
    </w:p>
    <w:p w:rsidR="00683B3D" w:rsidRPr="0005377D" w:rsidRDefault="00872ACE" w:rsidP="00E6667B">
      <w:p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72ACE">
        <w:rPr>
          <w:rFonts w:ascii="Arial" w:hAnsi="Arial" w:cs="Arial"/>
          <w:sz w:val="20"/>
          <w:szCs w:val="20"/>
          <w:lang w:val="en-GB"/>
        </w:rPr>
        <w:t>(b)</w:t>
      </w:r>
      <w:r w:rsidRPr="00872ACE">
        <w:rPr>
          <w:rFonts w:ascii="Arial" w:hAnsi="Arial" w:cs="Arial"/>
          <w:sz w:val="20"/>
          <w:szCs w:val="20"/>
          <w:lang w:val="en-GB"/>
        </w:rPr>
        <w:tab/>
      </w:r>
      <w:r w:rsidR="00683B3D" w:rsidRPr="00872ACE">
        <w:rPr>
          <w:rFonts w:ascii="Arial" w:hAnsi="Arial" w:cs="Arial"/>
          <w:sz w:val="20"/>
          <w:szCs w:val="20"/>
          <w:lang w:val="en-GB"/>
        </w:rPr>
        <w:t xml:space="preserve">The temperature of the cargo is not higher than 60 °C during or immediately after loading into the wagon or container. </w:t>
      </w:r>
      <w:r w:rsidR="00683B3D" w:rsidRPr="0005377D">
        <w:rPr>
          <w:rFonts w:ascii="Arial" w:hAnsi="Arial" w:cs="Arial"/>
          <w:sz w:val="20"/>
          <w:szCs w:val="20"/>
          <w:lang w:val="en-GB"/>
        </w:rPr>
        <w:t>Using suitable measuring methods, the filler shall ensure and document that the maximum permissible temperature of the cargo is not exceeded during or immediately after loading the wagons or containers.</w:t>
      </w:r>
    </w:p>
    <w:p w:rsidR="00683B3D" w:rsidRPr="0005377D" w:rsidRDefault="00683B3D" w:rsidP="00872ACE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05377D">
        <w:rPr>
          <w:rFonts w:ascii="Arial" w:hAnsi="Arial" w:cs="Arial"/>
          <w:sz w:val="20"/>
          <w:szCs w:val="20"/>
          <w:lang w:val="en-GB"/>
        </w:rPr>
        <w:t>The consignor shall ensure that the following statement is included in the document accompanying the consignment (such as a bill of lading, cargo manifest or CMR/CIM consignment note):</w:t>
      </w:r>
    </w:p>
    <w:p w:rsidR="00683B3D" w:rsidRPr="0005377D" w:rsidRDefault="00683B3D" w:rsidP="00872ACE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05377D">
        <w:rPr>
          <w:rFonts w:ascii="Arial" w:hAnsi="Arial" w:cs="Arial"/>
          <w:sz w:val="20"/>
          <w:szCs w:val="20"/>
          <w:lang w:val="en-GB"/>
        </w:rPr>
        <w:t xml:space="preserve">"CARRIAGE </w:t>
      </w:r>
      <w:r w:rsidR="00E6667B">
        <w:rPr>
          <w:rFonts w:ascii="Arial" w:hAnsi="Arial" w:cs="Arial"/>
          <w:sz w:val="20"/>
          <w:szCs w:val="20"/>
          <w:lang w:val="en-GB"/>
        </w:rPr>
        <w:t>IN ACCORDANCE WITH SPECIAL PROVISION 665 OF RID</w:t>
      </w:r>
      <w:r w:rsidRPr="0005377D">
        <w:rPr>
          <w:rFonts w:ascii="Arial" w:hAnsi="Arial" w:cs="Arial"/>
          <w:sz w:val="20"/>
          <w:szCs w:val="20"/>
          <w:lang w:val="en-GB"/>
        </w:rPr>
        <w:t>".</w:t>
      </w:r>
    </w:p>
    <w:p w:rsidR="00683B3D" w:rsidRPr="0005377D" w:rsidRDefault="00683B3D" w:rsidP="00872ACE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05377D">
        <w:rPr>
          <w:rFonts w:ascii="Arial" w:hAnsi="Arial" w:cs="Arial"/>
          <w:sz w:val="20"/>
          <w:szCs w:val="20"/>
          <w:lang w:val="en-GB"/>
        </w:rPr>
        <w:t>The other provisions of RID do not apply.</w:t>
      </w:r>
      <w:r w:rsidR="00E6667B">
        <w:rPr>
          <w:rFonts w:ascii="Arial" w:hAnsi="Arial" w:cs="Arial"/>
          <w:sz w:val="20"/>
          <w:szCs w:val="20"/>
          <w:lang w:val="en-GB"/>
        </w:rPr>
        <w:t>”</w:t>
      </w:r>
    </w:p>
    <w:p w:rsidR="00EA1287" w:rsidRDefault="00E6667B" w:rsidP="00872ACE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Table A:</w:t>
      </w:r>
    </w:p>
    <w:p w:rsidR="00E6667B" w:rsidRPr="00872ACE" w:rsidRDefault="00E6667B" w:rsidP="00872ACE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UN Nos. 1361 and 3088 for packing group III, in column (6), insert: “665”</w:t>
      </w:r>
    </w:p>
    <w:p w:rsidR="00EA1287" w:rsidRPr="00872ACE" w:rsidRDefault="00EA1287" w:rsidP="00683B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E407E" w:rsidRPr="00EA1287" w:rsidRDefault="004E407E" w:rsidP="00EA1287">
      <w:pPr>
        <w:rPr>
          <w:lang w:eastAsia="nl-NL"/>
        </w:rPr>
      </w:pPr>
    </w:p>
    <w:p w:rsidR="00F04907" w:rsidRPr="00A50094" w:rsidRDefault="00345D21" w:rsidP="00357FD3">
      <w:pPr>
        <w:rPr>
          <w:lang w:val="en-US"/>
        </w:rPr>
      </w:pPr>
      <w:r w:rsidRPr="00A50094">
        <w:rPr>
          <w:lang w:val="en-US"/>
        </w:rPr>
        <w:t xml:space="preserve"> </w:t>
      </w:r>
    </w:p>
    <w:p w:rsidR="00F04907" w:rsidRPr="00A50094" w:rsidRDefault="00F04907">
      <w:pPr>
        <w:rPr>
          <w:lang w:val="en-US"/>
        </w:rPr>
      </w:pPr>
    </w:p>
    <w:sectPr w:rsidR="00F04907" w:rsidRPr="00A50094" w:rsidSect="00F5391E">
      <w:pgSz w:w="11907" w:h="16840" w:code="9"/>
      <w:pgMar w:top="1417" w:right="1417" w:bottom="993" w:left="1417" w:header="964" w:footer="5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CD" w:rsidRDefault="008162CD" w:rsidP="00702D31">
      <w:r>
        <w:separator/>
      </w:r>
    </w:p>
  </w:endnote>
  <w:endnote w:type="continuationSeparator" w:id="0">
    <w:p w:rsidR="008162CD" w:rsidRDefault="008162CD" w:rsidP="007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CD" w:rsidRDefault="008162CD" w:rsidP="00702D31">
      <w:r>
        <w:separator/>
      </w:r>
    </w:p>
  </w:footnote>
  <w:footnote w:type="continuationSeparator" w:id="0">
    <w:p w:rsidR="008162CD" w:rsidRDefault="008162CD" w:rsidP="0070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AD2"/>
    <w:multiLevelType w:val="hybridMultilevel"/>
    <w:tmpl w:val="FBACA6C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5A7B"/>
    <w:multiLevelType w:val="hybridMultilevel"/>
    <w:tmpl w:val="EFC63B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A1287"/>
    <w:rsid w:val="00010157"/>
    <w:rsid w:val="00016DE6"/>
    <w:rsid w:val="00023774"/>
    <w:rsid w:val="0005377D"/>
    <w:rsid w:val="000730CD"/>
    <w:rsid w:val="00087932"/>
    <w:rsid w:val="000B1823"/>
    <w:rsid w:val="000D5F8A"/>
    <w:rsid w:val="000E318B"/>
    <w:rsid w:val="000E3933"/>
    <w:rsid w:val="000F4980"/>
    <w:rsid w:val="00102462"/>
    <w:rsid w:val="00155BCA"/>
    <w:rsid w:val="0017277B"/>
    <w:rsid w:val="001E47A7"/>
    <w:rsid w:val="00214282"/>
    <w:rsid w:val="002578BF"/>
    <w:rsid w:val="00261BCB"/>
    <w:rsid w:val="00310CD2"/>
    <w:rsid w:val="00314AB7"/>
    <w:rsid w:val="00345D21"/>
    <w:rsid w:val="00357FD3"/>
    <w:rsid w:val="00376F47"/>
    <w:rsid w:val="00382F6E"/>
    <w:rsid w:val="003A18EC"/>
    <w:rsid w:val="0041309A"/>
    <w:rsid w:val="00434873"/>
    <w:rsid w:val="004A0E2E"/>
    <w:rsid w:val="004C0459"/>
    <w:rsid w:val="004C09E4"/>
    <w:rsid w:val="004E407E"/>
    <w:rsid w:val="004F2984"/>
    <w:rsid w:val="00500647"/>
    <w:rsid w:val="0053219B"/>
    <w:rsid w:val="00536F02"/>
    <w:rsid w:val="00547299"/>
    <w:rsid w:val="00555A6E"/>
    <w:rsid w:val="005609F7"/>
    <w:rsid w:val="00576DDC"/>
    <w:rsid w:val="005B57ED"/>
    <w:rsid w:val="005D2433"/>
    <w:rsid w:val="006738F8"/>
    <w:rsid w:val="00683B3D"/>
    <w:rsid w:val="006A73E8"/>
    <w:rsid w:val="006D7B90"/>
    <w:rsid w:val="00702D31"/>
    <w:rsid w:val="00736F8F"/>
    <w:rsid w:val="007540EE"/>
    <w:rsid w:val="007A4E60"/>
    <w:rsid w:val="007B074A"/>
    <w:rsid w:val="007C252F"/>
    <w:rsid w:val="008162CD"/>
    <w:rsid w:val="00825D73"/>
    <w:rsid w:val="00837295"/>
    <w:rsid w:val="00862D96"/>
    <w:rsid w:val="00872ACE"/>
    <w:rsid w:val="0088106F"/>
    <w:rsid w:val="008A771C"/>
    <w:rsid w:val="008D7518"/>
    <w:rsid w:val="008E55D3"/>
    <w:rsid w:val="00917A4D"/>
    <w:rsid w:val="00953302"/>
    <w:rsid w:val="009857C0"/>
    <w:rsid w:val="009C0EFE"/>
    <w:rsid w:val="009D12CC"/>
    <w:rsid w:val="009E1797"/>
    <w:rsid w:val="009F2C73"/>
    <w:rsid w:val="009F2D92"/>
    <w:rsid w:val="00A140E8"/>
    <w:rsid w:val="00A25781"/>
    <w:rsid w:val="00A50094"/>
    <w:rsid w:val="00A7537A"/>
    <w:rsid w:val="00A75EA5"/>
    <w:rsid w:val="00B6616B"/>
    <w:rsid w:val="00C00682"/>
    <w:rsid w:val="00C44EB5"/>
    <w:rsid w:val="00CA5580"/>
    <w:rsid w:val="00CC01A3"/>
    <w:rsid w:val="00CF2946"/>
    <w:rsid w:val="00D26951"/>
    <w:rsid w:val="00DE5AF4"/>
    <w:rsid w:val="00DE5B8A"/>
    <w:rsid w:val="00E24F0E"/>
    <w:rsid w:val="00E342FD"/>
    <w:rsid w:val="00E6667B"/>
    <w:rsid w:val="00E77616"/>
    <w:rsid w:val="00EA1287"/>
    <w:rsid w:val="00EA553F"/>
    <w:rsid w:val="00EE5C86"/>
    <w:rsid w:val="00F04907"/>
    <w:rsid w:val="00F06989"/>
    <w:rsid w:val="00F5391E"/>
    <w:rsid w:val="00F6773B"/>
    <w:rsid w:val="00F84E79"/>
    <w:rsid w:val="00F91A00"/>
    <w:rsid w:val="00FB05FC"/>
    <w:rsid w:val="00FC0BBC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1A00"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12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1287"/>
    <w:rPr>
      <w:sz w:val="24"/>
      <w:szCs w:val="24"/>
    </w:rPr>
  </w:style>
  <w:style w:type="paragraph" w:styleId="Nagwek">
    <w:name w:val="header"/>
    <w:basedOn w:val="Normalny"/>
    <w:link w:val="NagwekZnak"/>
    <w:rsid w:val="0070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2D31"/>
    <w:rPr>
      <w:sz w:val="24"/>
      <w:szCs w:val="24"/>
    </w:rPr>
  </w:style>
  <w:style w:type="paragraph" w:styleId="Tekstdymka">
    <w:name w:val="Balloon Text"/>
    <w:basedOn w:val="Normalny"/>
    <w:link w:val="TekstdymkaZnak"/>
    <w:rsid w:val="00261B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6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1A00"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12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1287"/>
    <w:rPr>
      <w:sz w:val="24"/>
      <w:szCs w:val="24"/>
    </w:rPr>
  </w:style>
  <w:style w:type="paragraph" w:styleId="Nagwek">
    <w:name w:val="header"/>
    <w:basedOn w:val="Normalny"/>
    <w:link w:val="NagwekZnak"/>
    <w:rsid w:val="0070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2D31"/>
    <w:rPr>
      <w:sz w:val="24"/>
      <w:szCs w:val="24"/>
    </w:rPr>
  </w:style>
  <w:style w:type="paragraph" w:styleId="Tekstdymka">
    <w:name w:val="Balloon Text"/>
    <w:basedOn w:val="Normalny"/>
    <w:link w:val="TekstdymkaZnak"/>
    <w:rsid w:val="00261B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6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Prinz, Silvia</dc:creator>
  <cp:lastModifiedBy>user</cp:lastModifiedBy>
  <cp:revision>2</cp:revision>
  <cp:lastPrinted>2014-02-11T12:56:00Z</cp:lastPrinted>
  <dcterms:created xsi:type="dcterms:W3CDTF">2014-07-16T11:18:00Z</dcterms:created>
  <dcterms:modified xsi:type="dcterms:W3CDTF">2014-07-16T11:18:00Z</dcterms:modified>
</cp:coreProperties>
</file>