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99BF" w14:textId="77777777" w:rsidR="00A240E2" w:rsidRDefault="0051194F" w:rsidP="00A240E2">
      <w:pPr>
        <w:pStyle w:val="Pagedecouverture"/>
        <w:rPr>
          <w:noProof/>
        </w:rPr>
      </w:pPr>
      <w:bookmarkStart w:id="0" w:name="_GoBack"/>
      <w:bookmarkEnd w:id="0"/>
      <w:r>
        <w:rPr>
          <w:noProof/>
        </w:rPr>
        <w:pict w14:anchorId="23B9C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D00D12D-DE86-4619-AA34-224CE63D6414" style="width:450.75pt;height:395.25pt">
            <v:imagedata r:id="rId9" o:title=""/>
          </v:shape>
        </w:pict>
      </w:r>
    </w:p>
    <w:p w14:paraId="18217CD7" w14:textId="77777777" w:rsidR="00912B9A" w:rsidRDefault="00912B9A" w:rsidP="00912B9A">
      <w:pPr>
        <w:rPr>
          <w:noProof/>
        </w:rPr>
        <w:sectPr w:rsidR="00912B9A" w:rsidSect="00786948">
          <w:headerReference w:type="even" r:id="rId10"/>
          <w:headerReference w:type="default" r:id="rId11"/>
          <w:footerReference w:type="even" r:id="rId12"/>
          <w:footerReference w:type="default" r:id="rId13"/>
          <w:headerReference w:type="first" r:id="rId14"/>
          <w:footerReference w:type="first" r:id="rId15"/>
          <w:pgSz w:w="11907" w:h="16839"/>
          <w:pgMar w:top="1134" w:right="1418" w:bottom="1134" w:left="1418" w:header="709" w:footer="709" w:gutter="0"/>
          <w:pgNumType w:start="0"/>
          <w:cols w:space="720"/>
          <w:docGrid w:linePitch="360"/>
        </w:sectPr>
      </w:pPr>
    </w:p>
    <w:p w14:paraId="57BEF8EE" w14:textId="77777777" w:rsidR="00DF06EF" w:rsidRPr="00FB18DC" w:rsidRDefault="00DF06EF" w:rsidP="00DF06EF">
      <w:pPr>
        <w:pStyle w:val="Exposdesmotifstitre"/>
      </w:pPr>
      <w:r w:rsidRPr="00FB18DC">
        <w:t>EXPLANATORY MEMORANDUM</w:t>
      </w:r>
    </w:p>
    <w:p w14:paraId="54609E79" w14:textId="77777777" w:rsidR="00DF06EF" w:rsidRDefault="00DF06EF" w:rsidP="00DF06EF">
      <w:pPr>
        <w:pStyle w:val="ManualHeading1"/>
      </w:pPr>
      <w:r w:rsidRPr="00FB18DC">
        <w:t>1.</w:t>
      </w:r>
      <w:r w:rsidRPr="00FB18DC">
        <w:tab/>
      </w:r>
      <w:r>
        <w:t>CONTEXT OF THE DELEGATED ACT</w:t>
      </w:r>
    </w:p>
    <w:p w14:paraId="19AC63E6" w14:textId="77777777" w:rsidR="00DF06EF" w:rsidRDefault="00AC5B2D" w:rsidP="00DF06EF">
      <w:pPr>
        <w:rPr>
          <w:noProof/>
        </w:rPr>
      </w:pPr>
      <w:r w:rsidRPr="00F70E72">
        <w:rPr>
          <w:noProof/>
        </w:rPr>
        <w:t xml:space="preserve">One of the purposes of Directive </w:t>
      </w:r>
      <w:r>
        <w:rPr>
          <w:noProof/>
        </w:rPr>
        <w:t>(EU) 2016</w:t>
      </w:r>
      <w:r w:rsidRPr="00F70E72">
        <w:rPr>
          <w:noProof/>
        </w:rPr>
        <w:t>/</w:t>
      </w:r>
      <w:r>
        <w:rPr>
          <w:noProof/>
        </w:rPr>
        <w:t>798</w:t>
      </w:r>
      <w:r w:rsidRPr="00F70E72">
        <w:rPr>
          <w:noProof/>
        </w:rPr>
        <w:t xml:space="preserve"> is to improve access to the market for rail transport services by defining common principles for the management, regulation and supervision of railway safety. </w:t>
      </w:r>
      <w:r>
        <w:rPr>
          <w:noProof/>
        </w:rPr>
        <w:t xml:space="preserve">In particular, Article 10(1) of </w:t>
      </w:r>
      <w:r w:rsidRPr="00F70E72">
        <w:rPr>
          <w:noProof/>
        </w:rPr>
        <w:t xml:space="preserve">Directive </w:t>
      </w:r>
      <w:r>
        <w:rPr>
          <w:noProof/>
        </w:rPr>
        <w:t>(EU) 2016</w:t>
      </w:r>
      <w:r w:rsidRPr="00F70E72">
        <w:rPr>
          <w:noProof/>
        </w:rPr>
        <w:t>/</w:t>
      </w:r>
      <w:r>
        <w:rPr>
          <w:noProof/>
        </w:rPr>
        <w:t>798</w:t>
      </w:r>
      <w:r w:rsidRPr="00F70E72">
        <w:rPr>
          <w:noProof/>
        </w:rPr>
        <w:t xml:space="preserve"> </w:t>
      </w:r>
      <w:r>
        <w:rPr>
          <w:noProof/>
        </w:rPr>
        <w:t>requires</w:t>
      </w:r>
      <w:r w:rsidRPr="00F70E72">
        <w:rPr>
          <w:noProof/>
        </w:rPr>
        <w:t xml:space="preserve"> all railway undertakings </w:t>
      </w:r>
      <w:r>
        <w:rPr>
          <w:noProof/>
        </w:rPr>
        <w:t>to</w:t>
      </w:r>
      <w:r w:rsidRPr="00F70E72">
        <w:rPr>
          <w:noProof/>
        </w:rPr>
        <w:t xml:space="preserve"> apply</w:t>
      </w:r>
      <w:r>
        <w:rPr>
          <w:noProof/>
        </w:rPr>
        <w:t xml:space="preserve"> for a</w:t>
      </w:r>
      <w:r w:rsidRPr="00F70E72">
        <w:rPr>
          <w:noProof/>
        </w:rPr>
        <w:t xml:space="preserve"> </w:t>
      </w:r>
      <w:r>
        <w:rPr>
          <w:noProof/>
        </w:rPr>
        <w:t>single</w:t>
      </w:r>
      <w:r w:rsidRPr="00F70E72">
        <w:rPr>
          <w:noProof/>
        </w:rPr>
        <w:t xml:space="preserve"> safety certification </w:t>
      </w:r>
      <w:r>
        <w:rPr>
          <w:noProof/>
        </w:rPr>
        <w:t>before any operation</w:t>
      </w:r>
      <w:r w:rsidRPr="00F70E72">
        <w:rPr>
          <w:noProof/>
        </w:rPr>
        <w:t>.</w:t>
      </w:r>
      <w:r w:rsidR="00153A64">
        <w:rPr>
          <w:noProof/>
        </w:rPr>
        <w:t xml:space="preserve"> Article </w:t>
      </w:r>
      <w:r w:rsidR="00E85345">
        <w:rPr>
          <w:noProof/>
        </w:rPr>
        <w:t>12(1) set a similar requirement for the infrastructure managers to apply for a safety authorisation. To this aim, all railways undertakings and infrastructure managers should establishing their safety management system.</w:t>
      </w:r>
    </w:p>
    <w:p w14:paraId="05811D2A" w14:textId="77777777" w:rsidR="00AC5B2D" w:rsidRPr="0012110C" w:rsidRDefault="00B50A51" w:rsidP="00DF06EF">
      <w:r>
        <w:rPr>
          <w:noProof/>
        </w:rPr>
        <w:t xml:space="preserve">Point (f) of </w:t>
      </w:r>
      <w:r w:rsidR="00AC5B2D">
        <w:rPr>
          <w:noProof/>
        </w:rPr>
        <w:t xml:space="preserve">Article 6(1) of </w:t>
      </w:r>
      <w:r w:rsidR="00AC5B2D" w:rsidRPr="00F70E72">
        <w:rPr>
          <w:noProof/>
        </w:rPr>
        <w:t xml:space="preserve">Directive </w:t>
      </w:r>
      <w:r w:rsidR="00AC5B2D">
        <w:rPr>
          <w:noProof/>
        </w:rPr>
        <w:t>(EU) 2016</w:t>
      </w:r>
      <w:r w:rsidR="00AC5B2D" w:rsidRPr="00F70E72">
        <w:rPr>
          <w:noProof/>
        </w:rPr>
        <w:t>/</w:t>
      </w:r>
      <w:r w:rsidR="00AC5B2D">
        <w:rPr>
          <w:noProof/>
        </w:rPr>
        <w:t>798</w:t>
      </w:r>
      <w:r w:rsidR="00AC5B2D" w:rsidRPr="00A86AF9">
        <w:rPr>
          <w:noProof/>
        </w:rPr>
        <w:t xml:space="preserve"> provide</w:t>
      </w:r>
      <w:r w:rsidR="00AC5B2D">
        <w:rPr>
          <w:noProof/>
        </w:rPr>
        <w:t>s</w:t>
      </w:r>
      <w:r w:rsidR="00AC5B2D" w:rsidRPr="00A86AF9">
        <w:rPr>
          <w:noProof/>
        </w:rPr>
        <w:t xml:space="preserve"> a framework for </w:t>
      </w:r>
      <w:r>
        <w:rPr>
          <w:noProof/>
        </w:rPr>
        <w:t>establishing requirements on safety management system which need to be harmonised at Union level.</w:t>
      </w:r>
      <w:r w:rsidR="00E85345">
        <w:rPr>
          <w:noProof/>
        </w:rPr>
        <w:t xml:space="preserve"> The requirements provided in the present Regulation are built on the basis elements indicated in Article 9. The safety certification body and the national safety authority can use such requirement</w:t>
      </w:r>
      <w:r w:rsidR="006C2E23">
        <w:rPr>
          <w:noProof/>
        </w:rPr>
        <w:t>s for assessing the quality of the safety management system before issuing a single safety certificate or a safety authorisation and for carrying out supervision activities.</w:t>
      </w:r>
    </w:p>
    <w:p w14:paraId="454886FC" w14:textId="77777777" w:rsidR="00DF06EF" w:rsidRDefault="00DF06EF" w:rsidP="00DF06EF">
      <w:pPr>
        <w:pStyle w:val="ManualHeading1"/>
      </w:pPr>
      <w:r w:rsidRPr="00FB18DC">
        <w:t>2.</w:t>
      </w:r>
      <w:r w:rsidRPr="00FB18DC">
        <w:tab/>
      </w:r>
      <w:r>
        <w:t>CONSULTATIONS PRIOR TO THE ADOPTION OF THE ACT</w:t>
      </w:r>
    </w:p>
    <w:p w14:paraId="0A6F4A44" w14:textId="54BD595F" w:rsidR="00DF06EF" w:rsidRDefault="00AC5B2D" w:rsidP="00DF06EF">
      <w:pPr>
        <w:rPr>
          <w:noProof/>
        </w:rPr>
      </w:pPr>
      <w:r>
        <w:t xml:space="preserve">In accordance with Article 6(2) of </w:t>
      </w:r>
      <w:r w:rsidRPr="00AC5B2D">
        <w:rPr>
          <w:noProof/>
        </w:rPr>
        <w:t>Directive (EU) 2016/798</w:t>
      </w:r>
      <w:r>
        <w:rPr>
          <w:noProof/>
        </w:rPr>
        <w:t xml:space="preserve">, on 1 </w:t>
      </w:r>
      <w:r w:rsidR="0089591D">
        <w:t>September</w:t>
      </w:r>
      <w:r w:rsidR="0089591D">
        <w:rPr>
          <w:noProof/>
        </w:rPr>
        <w:t xml:space="preserve"> </w:t>
      </w:r>
      <w:r>
        <w:rPr>
          <w:noProof/>
        </w:rPr>
        <w:t xml:space="preserve">2016 the Commission issued a mandate to the European Union Agency for Railways (the 'Agency') </w:t>
      </w:r>
      <w:r w:rsidRPr="00AC5B2D">
        <w:rPr>
          <w:noProof/>
        </w:rPr>
        <w:t>to revise the common safety method for assessing conformity with the requirements for obtaining railway safety certificates referred to in Commission Regulation (E</w:t>
      </w:r>
      <w:r w:rsidR="00153A64">
        <w:rPr>
          <w:noProof/>
        </w:rPr>
        <w:t>U) No </w:t>
      </w:r>
      <w:r w:rsidRPr="00AC5B2D">
        <w:rPr>
          <w:noProof/>
        </w:rPr>
        <w:t>1158/2010 of 9 December 2010</w:t>
      </w:r>
      <w:r w:rsidRPr="009214F5">
        <w:rPr>
          <w:rStyle w:val="FootnoteReference"/>
        </w:rPr>
        <w:footnoteReference w:id="1"/>
      </w:r>
      <w:r w:rsidRPr="00AC5B2D">
        <w:rPr>
          <w:noProof/>
        </w:rPr>
        <w:t>, the common safety method for assessing conformity with the requirements for obtaining a railway safety authorisation referred to in Commission Regulation (EU) No 1169/2010 of 10 December 2010</w:t>
      </w:r>
      <w:r w:rsidRPr="009214F5">
        <w:rPr>
          <w:rStyle w:val="FootnoteReference"/>
        </w:rPr>
        <w:footnoteReference w:id="2"/>
      </w:r>
      <w:r w:rsidRPr="00AC5B2D">
        <w:rPr>
          <w:noProof/>
        </w:rPr>
        <w:t xml:space="preserve"> and the common safety method for supervision by national safety authorities after issuing a safety certificate or safety authorisation referred to in Commission Regulation (EU) No 1077/2012 of 16 November 2012</w:t>
      </w:r>
      <w:r w:rsidRPr="009214F5">
        <w:rPr>
          <w:rStyle w:val="FootnoteReference"/>
        </w:rPr>
        <w:footnoteReference w:id="3"/>
      </w:r>
      <w:r w:rsidRPr="00AC5B2D">
        <w:rPr>
          <w:noProof/>
        </w:rPr>
        <w:t xml:space="preserve">. </w:t>
      </w:r>
      <w:r w:rsidR="009124A4">
        <w:rPr>
          <w:noProof/>
        </w:rPr>
        <w:t>On 9 March 2017 t</w:t>
      </w:r>
      <w:r w:rsidRPr="00AC5B2D">
        <w:rPr>
          <w:noProof/>
        </w:rPr>
        <w:t>he Agency submitted its recommendation on the revision of the CSMs to the Commission, supported by an impact assessment report to address the mandate of the Commission. Th</w:t>
      </w:r>
      <w:r w:rsidR="009124A4">
        <w:rPr>
          <w:noProof/>
        </w:rPr>
        <w:t>e first version o</w:t>
      </w:r>
      <w:r w:rsidR="006C2E23">
        <w:rPr>
          <w:noProof/>
        </w:rPr>
        <w:t>f</w:t>
      </w:r>
      <w:r w:rsidR="009124A4">
        <w:rPr>
          <w:noProof/>
        </w:rPr>
        <w:t xml:space="preserve"> this Regulation wa</w:t>
      </w:r>
      <w:r w:rsidRPr="00AC5B2D">
        <w:rPr>
          <w:noProof/>
        </w:rPr>
        <w:t>s based on th</w:t>
      </w:r>
      <w:r w:rsidR="009124A4">
        <w:rPr>
          <w:noProof/>
        </w:rPr>
        <w:t>e</w:t>
      </w:r>
      <w:r w:rsidRPr="00AC5B2D">
        <w:rPr>
          <w:noProof/>
        </w:rPr>
        <w:t xml:space="preserve"> Agency</w:t>
      </w:r>
      <w:r w:rsidR="009124A4">
        <w:rPr>
          <w:noProof/>
        </w:rPr>
        <w:t>'s</w:t>
      </w:r>
      <w:r w:rsidRPr="00AC5B2D">
        <w:rPr>
          <w:noProof/>
        </w:rPr>
        <w:t xml:space="preserve"> recommendation.</w:t>
      </w:r>
    </w:p>
    <w:p w14:paraId="6A80C893" w14:textId="77777777" w:rsidR="00CD38E2" w:rsidRDefault="00CD38E2" w:rsidP="00CD38E2">
      <w:r>
        <w:t>The Commission Expert Group on the Technical Pillar of the 4th Railway Package was consulted on the Recommendation of the Agency on 12 April 2017 and the draft Commission proposal was presented on 5 July 2017.</w:t>
      </w:r>
    </w:p>
    <w:p w14:paraId="699BA03E" w14:textId="62DAA2F5" w:rsidR="00CD38E2" w:rsidRPr="0012110C" w:rsidRDefault="00CD38E2" w:rsidP="00CD38E2">
      <w:r>
        <w:t xml:space="preserve">The consultation for public feedback was held from </w:t>
      </w:r>
      <w:r w:rsidR="008858B5">
        <w:t>2</w:t>
      </w:r>
      <w:r w:rsidR="00F84709">
        <w:t>4 Aug</w:t>
      </w:r>
      <w:r w:rsidR="00934319">
        <w:t>u</w:t>
      </w:r>
      <w:r w:rsidR="00F84709">
        <w:t>s</w:t>
      </w:r>
      <w:r w:rsidR="00934319">
        <w:t xml:space="preserve">t </w:t>
      </w:r>
      <w:r>
        <w:t xml:space="preserve">until </w:t>
      </w:r>
      <w:r w:rsidR="00934319">
        <w:t>21 September 2017</w:t>
      </w:r>
      <w:r w:rsidR="008858B5">
        <w:t xml:space="preserve"> (reference: </w:t>
      </w:r>
      <w:proofErr w:type="gramStart"/>
      <w:r w:rsidR="008858B5">
        <w:t>Ares(</w:t>
      </w:r>
      <w:proofErr w:type="gramEnd"/>
      <w:r w:rsidR="008858B5">
        <w:t>2017)4156968)</w:t>
      </w:r>
      <w:r w:rsidR="00934319">
        <w:t>.</w:t>
      </w:r>
      <w:r w:rsidR="008858B5">
        <w:t xml:space="preserve"> Several comments have been incorporated in the new version.</w:t>
      </w:r>
    </w:p>
    <w:p w14:paraId="125F597F" w14:textId="77777777" w:rsidR="00DF06EF" w:rsidRDefault="00DF06EF" w:rsidP="00DF06EF">
      <w:pPr>
        <w:pStyle w:val="ManualHeading1"/>
      </w:pPr>
      <w:r w:rsidRPr="00FB18DC">
        <w:t>3.</w:t>
      </w:r>
      <w:r w:rsidRPr="00FB18DC">
        <w:tab/>
      </w:r>
      <w:r>
        <w:t>LEGAL ELEMENTS OF THE DELEGATED ACT</w:t>
      </w:r>
    </w:p>
    <w:p w14:paraId="6EF910FC" w14:textId="77777777" w:rsidR="00DF06EF" w:rsidRPr="009214F5" w:rsidRDefault="009124A4" w:rsidP="00DF06EF">
      <w:r w:rsidRPr="009214F5">
        <w:t xml:space="preserve">This Regulation </w:t>
      </w:r>
      <w:r w:rsidR="00CD38E2">
        <w:t>establishes</w:t>
      </w:r>
      <w:r w:rsidRPr="009214F5">
        <w:t xml:space="preserve"> CSM </w:t>
      </w:r>
      <w:r w:rsidR="006C2E23" w:rsidRPr="00B50A51">
        <w:t>on safety management system requirements</w:t>
      </w:r>
      <w:r w:rsidR="006C2E23">
        <w:t>.</w:t>
      </w:r>
      <w:r w:rsidR="006C2E23" w:rsidRPr="00B50A51">
        <w:t xml:space="preserve"> </w:t>
      </w:r>
      <w:r w:rsidRPr="009214F5">
        <w:t xml:space="preserve">The technical content is based on the requirement of Article 9 of Directive (EU) 2016/798 and </w:t>
      </w:r>
      <w:r w:rsidR="006C2E23">
        <w:t xml:space="preserve">the legal basis is provided by </w:t>
      </w:r>
      <w:r w:rsidR="006C2E23">
        <w:rPr>
          <w:noProof/>
        </w:rPr>
        <w:t>Point (f) of Article 6(1)</w:t>
      </w:r>
      <w:r w:rsidRPr="009214F5">
        <w:t>.</w:t>
      </w:r>
    </w:p>
    <w:p w14:paraId="640D880F" w14:textId="77777777" w:rsidR="00DF06EF" w:rsidRDefault="00DF06EF" w:rsidP="00DF06EF">
      <w:pPr>
        <w:sectPr w:rsidR="00DF06EF" w:rsidSect="00786948">
          <w:footerReference w:type="default" r:id="rId16"/>
          <w:footerReference w:type="first" r:id="rId17"/>
          <w:pgSz w:w="11907" w:h="16839"/>
          <w:pgMar w:top="1134" w:right="1417" w:bottom="1134" w:left="1417" w:header="709" w:footer="709" w:gutter="0"/>
          <w:cols w:space="708"/>
          <w:docGrid w:linePitch="360"/>
        </w:sectPr>
      </w:pPr>
    </w:p>
    <w:p w14:paraId="762992AB" w14:textId="77777777" w:rsidR="00912B9A" w:rsidRPr="002B43BA" w:rsidRDefault="00B50A51" w:rsidP="00B50A51">
      <w:pPr>
        <w:pStyle w:val="Typedudocument"/>
        <w:rPr>
          <w:noProof/>
        </w:rPr>
      </w:pPr>
      <w:r w:rsidRPr="00B50A51">
        <w:t>COMMISSION DELEGATED REGULATION (EU) …/...</w:t>
      </w:r>
    </w:p>
    <w:p w14:paraId="33ECA78D" w14:textId="77777777" w:rsidR="00912B9A" w:rsidRPr="002B43BA" w:rsidRDefault="00B50A51" w:rsidP="00B50A51">
      <w:pPr>
        <w:pStyle w:val="Datedadoption"/>
        <w:rPr>
          <w:noProof/>
        </w:rPr>
      </w:pPr>
      <w:proofErr w:type="gramStart"/>
      <w:r w:rsidRPr="00B50A51">
        <w:t>of</w:t>
      </w:r>
      <w:proofErr w:type="gramEnd"/>
      <w:r w:rsidRPr="00B50A51">
        <w:t xml:space="preserve"> </w:t>
      </w:r>
      <w:r w:rsidRPr="00B50A51">
        <w:rPr>
          <w:rStyle w:val="Marker2"/>
        </w:rPr>
        <w:t>XXX</w:t>
      </w:r>
    </w:p>
    <w:p w14:paraId="18E4A89D" w14:textId="77777777" w:rsidR="00545AB2" w:rsidRDefault="00B50A51" w:rsidP="00B50A51">
      <w:pPr>
        <w:pStyle w:val="Titreobjet"/>
      </w:pPr>
      <w:proofErr w:type="gramStart"/>
      <w:r w:rsidRPr="00B50A51">
        <w:t>establishing</w:t>
      </w:r>
      <w:proofErr w:type="gramEnd"/>
      <w:r w:rsidRPr="00B50A51">
        <w:t xml:space="preserve"> common safety methods on safety management system requirements pursuant to Directive (EU) 2016/798 of the European Parliament and of the Council  and repealing Commission Regulations (EU) No 1158/2010 and (EU) No 1169/2010</w:t>
      </w:r>
    </w:p>
    <w:p w14:paraId="17254117" w14:textId="77777777" w:rsidR="00912B9A" w:rsidRPr="002B43BA" w:rsidRDefault="00B50A51" w:rsidP="00B50A51">
      <w:pPr>
        <w:pStyle w:val="IntrtEEE"/>
        <w:rPr>
          <w:noProof/>
        </w:rPr>
      </w:pPr>
      <w:r w:rsidRPr="00B50A51">
        <w:t>(Text with EEA relevance)</w:t>
      </w:r>
    </w:p>
    <w:p w14:paraId="0B3ECFB9" w14:textId="77777777" w:rsidR="00912B9A" w:rsidRPr="002B43BA" w:rsidRDefault="00912B9A">
      <w:pPr>
        <w:pStyle w:val="Institutionquiagit"/>
        <w:rPr>
          <w:noProof/>
        </w:rPr>
      </w:pPr>
      <w:r w:rsidRPr="002B43BA">
        <w:rPr>
          <w:noProof/>
        </w:rPr>
        <w:t>THE EUROPEAN COMMISSION,</w:t>
      </w:r>
    </w:p>
    <w:p w14:paraId="03B3A0D0" w14:textId="77777777" w:rsidR="00912B9A" w:rsidRPr="002B43BA" w:rsidRDefault="00912B9A">
      <w:pPr>
        <w:rPr>
          <w:noProof/>
        </w:rPr>
      </w:pPr>
      <w:r w:rsidRPr="002B43BA">
        <w:rPr>
          <w:noProof/>
        </w:rPr>
        <w:t>Having regard to the Treaty on the Functioning of the European Union,</w:t>
      </w:r>
    </w:p>
    <w:p w14:paraId="1D2CEC4F" w14:textId="77777777" w:rsidR="00912B9A" w:rsidRDefault="00912B9A">
      <w:pPr>
        <w:rPr>
          <w:noProof/>
        </w:rPr>
      </w:pPr>
      <w:r w:rsidRPr="002B43BA">
        <w:rPr>
          <w:noProof/>
        </w:rPr>
        <w:t xml:space="preserve">Having regard to </w:t>
      </w:r>
      <w:r>
        <w:rPr>
          <w:noProof/>
        </w:rPr>
        <w:t>Directive (EU) 2016/798</w:t>
      </w:r>
      <w:r w:rsidRPr="002B43BA">
        <w:rPr>
          <w:noProof/>
        </w:rPr>
        <w:t xml:space="preserve"> of the European Parliament and of the Council of </w:t>
      </w:r>
      <w:r>
        <w:rPr>
          <w:noProof/>
        </w:rPr>
        <w:t>11 May 2016</w:t>
      </w:r>
      <w:r w:rsidRPr="002B43BA">
        <w:rPr>
          <w:noProof/>
        </w:rPr>
        <w:t xml:space="preserve"> on railway safety</w:t>
      </w:r>
      <w:r w:rsidRPr="006F307E">
        <w:rPr>
          <w:rStyle w:val="FootnoteReference"/>
          <w:noProof/>
        </w:rPr>
        <w:footnoteReference w:id="4"/>
      </w:r>
      <w:r w:rsidRPr="002B43BA">
        <w:rPr>
          <w:noProof/>
        </w:rPr>
        <w:t>, and in particular Article 6(</w:t>
      </w:r>
      <w:r w:rsidR="00CE3CDB">
        <w:rPr>
          <w:noProof/>
        </w:rPr>
        <w:t>6</w:t>
      </w:r>
      <w:r w:rsidRPr="002B43BA">
        <w:rPr>
          <w:noProof/>
        </w:rPr>
        <w:t>) thereof,</w:t>
      </w:r>
    </w:p>
    <w:p w14:paraId="5F7254A2" w14:textId="77777777" w:rsidR="00AB03B5" w:rsidRDefault="00DA19DE">
      <w:pPr>
        <w:rPr>
          <w:noProof/>
        </w:rPr>
      </w:pPr>
      <w:r w:rsidRPr="00DA19DE">
        <w:rPr>
          <w:noProof/>
        </w:rPr>
        <w:t>Having regard to Recommendation ERA-REC-115-REC from the European Union Agency for Railways delivered to the Commission on 9 March 2017, on the revision of the common safety methods for conformity assessment and the common safety methods for supervision,</w:t>
      </w:r>
    </w:p>
    <w:p w14:paraId="4025C50F" w14:textId="77777777" w:rsidR="00912B9A" w:rsidRPr="002B43BA" w:rsidRDefault="00912B9A">
      <w:pPr>
        <w:rPr>
          <w:noProof/>
        </w:rPr>
      </w:pPr>
      <w:r w:rsidRPr="002B43BA">
        <w:rPr>
          <w:noProof/>
        </w:rPr>
        <w:t>Whereas:</w:t>
      </w:r>
    </w:p>
    <w:p w14:paraId="0405B41C" w14:textId="77777777" w:rsidR="00912B9A" w:rsidRDefault="00912B9A" w:rsidP="005403CA">
      <w:pPr>
        <w:pStyle w:val="Considrant"/>
        <w:numPr>
          <w:ilvl w:val="0"/>
          <w:numId w:val="10"/>
        </w:numPr>
        <w:rPr>
          <w:noProof/>
        </w:rPr>
      </w:pPr>
      <w:r>
        <w:rPr>
          <w:noProof/>
        </w:rPr>
        <w:t xml:space="preserve">The </w:t>
      </w:r>
      <w:r w:rsidR="00AC5B2D">
        <w:rPr>
          <w:noProof/>
        </w:rPr>
        <w:t>common safety methods (CSMs)</w:t>
      </w:r>
      <w:r>
        <w:rPr>
          <w:noProof/>
        </w:rPr>
        <w:t xml:space="preserve"> describe how the safety levels</w:t>
      </w:r>
      <w:r w:rsidR="00EE4169">
        <w:rPr>
          <w:noProof/>
        </w:rPr>
        <w:t xml:space="preserve"> and</w:t>
      </w:r>
      <w:r>
        <w:rPr>
          <w:noProof/>
        </w:rPr>
        <w:t xml:space="preserve"> the achievement of safety targets and compliance with other safety requirements are assessed.</w:t>
      </w:r>
    </w:p>
    <w:p w14:paraId="69DB399C" w14:textId="77777777" w:rsidR="00912B9A" w:rsidRDefault="00EE4169" w:rsidP="00EE4169">
      <w:pPr>
        <w:pStyle w:val="Considrant"/>
        <w:rPr>
          <w:noProof/>
        </w:rPr>
      </w:pPr>
      <w:r>
        <w:rPr>
          <w:noProof/>
        </w:rPr>
        <w:t>I</w:t>
      </w:r>
      <w:r w:rsidRPr="00EE4169">
        <w:rPr>
          <w:noProof/>
        </w:rPr>
        <w:t>n accordance with Article 6(5) of Directive (EU) 2016/798</w:t>
      </w:r>
      <w:r>
        <w:rPr>
          <w:noProof/>
        </w:rPr>
        <w:t>, t</w:t>
      </w:r>
      <w:r w:rsidR="00912B9A">
        <w:rPr>
          <w:noProof/>
        </w:rPr>
        <w:t>he CSMs are to be revised at regular intervals, taking into account the experience gained from their application and the global development of railway safety and with the objective of generally maintaining and, where reasonably practicable, continuously improving safety.</w:t>
      </w:r>
    </w:p>
    <w:p w14:paraId="1A3E12A8" w14:textId="77777777" w:rsidR="00CE2F30" w:rsidRPr="00CE2F30" w:rsidRDefault="008E516B" w:rsidP="00CE2F30">
      <w:pPr>
        <w:pStyle w:val="Considrant"/>
        <w:rPr>
          <w:noProof/>
        </w:rPr>
      </w:pPr>
      <w:r w:rsidRPr="008E516B">
        <w:rPr>
          <w:noProof/>
        </w:rPr>
        <w:t>By its Implementing Decision of 1 September 2016</w:t>
      </w:r>
      <w:r w:rsidRPr="005E435C">
        <w:rPr>
          <w:rStyle w:val="FootnoteReference"/>
        </w:rPr>
        <w:footnoteReference w:id="5"/>
      </w:r>
      <w:r w:rsidRPr="008E516B">
        <w:rPr>
          <w:noProof/>
        </w:rPr>
        <w:t xml:space="preserve">, </w:t>
      </w:r>
      <w:r w:rsidR="00912B9A" w:rsidRPr="00AD1A9A">
        <w:rPr>
          <w:noProof/>
        </w:rPr>
        <w:t xml:space="preserve">the Commission issued a mandate to the European </w:t>
      </w:r>
      <w:r w:rsidR="00912B9A">
        <w:rPr>
          <w:noProof/>
        </w:rPr>
        <w:t>Union</w:t>
      </w:r>
      <w:r w:rsidR="00912B9A" w:rsidRPr="00AD1A9A">
        <w:rPr>
          <w:noProof/>
        </w:rPr>
        <w:t xml:space="preserve"> Agency </w:t>
      </w:r>
      <w:r w:rsidR="00912B9A">
        <w:rPr>
          <w:noProof/>
        </w:rPr>
        <w:t xml:space="preserve">for Railways </w:t>
      </w:r>
      <w:r w:rsidR="00912B9A" w:rsidRPr="00AD1A9A">
        <w:rPr>
          <w:noProof/>
        </w:rPr>
        <w:t xml:space="preserve">(the ‘Agency’) in accordance with </w:t>
      </w:r>
      <w:r w:rsidR="00982529">
        <w:rPr>
          <w:noProof/>
        </w:rPr>
        <w:t xml:space="preserve">Article 6(2) of </w:t>
      </w:r>
      <w:r w:rsidR="00912B9A" w:rsidRPr="00AD1A9A">
        <w:rPr>
          <w:noProof/>
        </w:rPr>
        <w:t xml:space="preserve">Directive </w:t>
      </w:r>
      <w:r w:rsidR="00912B9A">
        <w:rPr>
          <w:noProof/>
        </w:rPr>
        <w:t xml:space="preserve">(EU) </w:t>
      </w:r>
      <w:r w:rsidR="00912B9A" w:rsidRPr="00AD1A9A">
        <w:rPr>
          <w:noProof/>
        </w:rPr>
        <w:t>20</w:t>
      </w:r>
      <w:r w:rsidR="00912B9A">
        <w:rPr>
          <w:noProof/>
        </w:rPr>
        <w:t>16</w:t>
      </w:r>
      <w:r w:rsidR="00912B9A" w:rsidRPr="00AD1A9A">
        <w:rPr>
          <w:noProof/>
        </w:rPr>
        <w:t>/</w:t>
      </w:r>
      <w:r w:rsidR="00912B9A">
        <w:rPr>
          <w:noProof/>
        </w:rPr>
        <w:t>798</w:t>
      </w:r>
      <w:r w:rsidR="00912B9A" w:rsidRPr="00AD1A9A">
        <w:rPr>
          <w:noProof/>
        </w:rPr>
        <w:t xml:space="preserve"> to revise Commission Regulation</w:t>
      </w:r>
      <w:r w:rsidR="002C6752">
        <w:rPr>
          <w:noProof/>
        </w:rPr>
        <w:t>s</w:t>
      </w:r>
      <w:r w:rsidR="00912B9A" w:rsidRPr="00AD1A9A">
        <w:rPr>
          <w:noProof/>
        </w:rPr>
        <w:t xml:space="preserve"> (EU) No 1158/2010 </w:t>
      </w:r>
      <w:r w:rsidR="00912B9A">
        <w:rPr>
          <w:rStyle w:val="FootnoteReference"/>
          <w:noProof/>
        </w:rPr>
        <w:footnoteReference w:id="6"/>
      </w:r>
      <w:r w:rsidR="00912B9A" w:rsidRPr="00AD1A9A">
        <w:rPr>
          <w:noProof/>
        </w:rPr>
        <w:t>, (EU) No 1169/2010</w:t>
      </w:r>
      <w:r w:rsidR="00912B9A">
        <w:rPr>
          <w:rStyle w:val="FootnoteReference"/>
          <w:noProof/>
        </w:rPr>
        <w:footnoteReference w:id="7"/>
      </w:r>
      <w:r w:rsidR="00912B9A" w:rsidRPr="00AD1A9A">
        <w:rPr>
          <w:noProof/>
        </w:rPr>
        <w:t xml:space="preserve"> and (EU) No</w:t>
      </w:r>
      <w:r w:rsidR="00C82363">
        <w:rPr>
          <w:noProof/>
        </w:rPr>
        <w:t xml:space="preserve"> </w:t>
      </w:r>
      <w:r w:rsidR="00912B9A" w:rsidRPr="00AD1A9A">
        <w:rPr>
          <w:noProof/>
        </w:rPr>
        <w:t>1077/2012</w:t>
      </w:r>
      <w:r w:rsidR="00912B9A">
        <w:rPr>
          <w:rStyle w:val="FootnoteReference"/>
          <w:noProof/>
        </w:rPr>
        <w:footnoteReference w:id="8"/>
      </w:r>
      <w:r w:rsidR="00912B9A" w:rsidRPr="00AD1A9A">
        <w:rPr>
          <w:noProof/>
        </w:rPr>
        <w:t xml:space="preserve">. </w:t>
      </w:r>
      <w:r w:rsidR="00CE2F30" w:rsidRPr="00CE2F30">
        <w:rPr>
          <w:noProof/>
        </w:rPr>
        <w:t xml:space="preserve">On 9 March 2017, the Agency issued its recommendation, enclosing a report on the results of the consultation of national safety authorities, social partners and users and a report assessing the impact of the amended CSMs to be adopted, to address the mandate of the Commission. The Commission examined the recommendation issued by the Agency to verify that the mandate was fulfilled as referred to in Article 6(4) of Directive (EU) 2016/798. </w:t>
      </w:r>
    </w:p>
    <w:p w14:paraId="5A5E699B" w14:textId="77777777" w:rsidR="00912B9A" w:rsidRDefault="00912B9A" w:rsidP="007E2FD7">
      <w:pPr>
        <w:pStyle w:val="Considrant"/>
        <w:rPr>
          <w:noProof/>
        </w:rPr>
      </w:pPr>
      <w:r w:rsidRPr="00A13DA3">
        <w:rPr>
          <w:noProof/>
        </w:rPr>
        <w:t xml:space="preserve">The purpose of the </w:t>
      </w:r>
      <w:r>
        <w:rPr>
          <w:noProof/>
        </w:rPr>
        <w:t>safety management system</w:t>
      </w:r>
      <w:r w:rsidRPr="00A13DA3">
        <w:rPr>
          <w:noProof/>
        </w:rPr>
        <w:t xml:space="preserve"> is to ensure that the </w:t>
      </w:r>
      <w:r>
        <w:rPr>
          <w:noProof/>
        </w:rPr>
        <w:t>railway undertakings and infrastructure managers achieve their</w:t>
      </w:r>
      <w:r w:rsidRPr="00A13DA3">
        <w:rPr>
          <w:noProof/>
        </w:rPr>
        <w:t xml:space="preserve"> business objectives in a safe manner</w:t>
      </w:r>
      <w:r>
        <w:rPr>
          <w:noProof/>
        </w:rPr>
        <w:t>. The safety management system is often integrated with other management systems to increase the overall performance of the organisation and reduce costs while mutualising the efforts at all levels of the organisation. To this end, the common framework of the ISO High Level Structure</w:t>
      </w:r>
      <w:r>
        <w:rPr>
          <w:rStyle w:val="FootnoteReference"/>
          <w:noProof/>
        </w:rPr>
        <w:footnoteReference w:id="9"/>
      </w:r>
      <w:r>
        <w:rPr>
          <w:noProof/>
        </w:rPr>
        <w:t xml:space="preserve"> is used to functionally cluster the requirements of the safety management system, as referred to in Article 9 of Directive (EU) 2016/798. This framework also facilitates the understanding and application of </w:t>
      </w:r>
      <w:r w:rsidRPr="00C019B1">
        <w:rPr>
          <w:noProof/>
        </w:rPr>
        <w:t xml:space="preserve">a </w:t>
      </w:r>
      <w:r>
        <w:rPr>
          <w:noProof/>
        </w:rPr>
        <w:t>process</w:t>
      </w:r>
      <w:r w:rsidRPr="00C019B1">
        <w:rPr>
          <w:noProof/>
        </w:rPr>
        <w:t xml:space="preserve"> approach </w:t>
      </w:r>
      <w:r>
        <w:rPr>
          <w:noProof/>
        </w:rPr>
        <w:t>by the railway undertakings and infrastructure managers when developing, implementing, maintaining and continually improving</w:t>
      </w:r>
      <w:r w:rsidRPr="00C019B1">
        <w:rPr>
          <w:noProof/>
        </w:rPr>
        <w:t xml:space="preserve"> </w:t>
      </w:r>
      <w:r>
        <w:rPr>
          <w:noProof/>
        </w:rPr>
        <w:t>their safety management system.</w:t>
      </w:r>
    </w:p>
    <w:p w14:paraId="73065073" w14:textId="77777777" w:rsidR="00912B9A" w:rsidRDefault="00912B9A" w:rsidP="007E2FD7">
      <w:pPr>
        <w:pStyle w:val="Considrant"/>
        <w:rPr>
          <w:noProof/>
        </w:rPr>
      </w:pPr>
      <w:r w:rsidRPr="00DD272A">
        <w:rPr>
          <w:noProof/>
        </w:rPr>
        <w:t xml:space="preserve">Once issued with a single safety certificate </w:t>
      </w:r>
      <w:r w:rsidR="00BC61B2">
        <w:rPr>
          <w:noProof/>
        </w:rPr>
        <w:t xml:space="preserve">or with a safety authorisation, </w:t>
      </w:r>
      <w:r w:rsidRPr="00DD272A">
        <w:rPr>
          <w:noProof/>
        </w:rPr>
        <w:t>the applicant sh</w:t>
      </w:r>
      <w:r>
        <w:rPr>
          <w:noProof/>
        </w:rPr>
        <w:t>ould</w:t>
      </w:r>
      <w:r w:rsidRPr="00DD272A">
        <w:rPr>
          <w:noProof/>
        </w:rPr>
        <w:t xml:space="preserve"> continue to use its safety management system as referred to in Article 9 of Directive (EU) 2016/798.</w:t>
      </w:r>
    </w:p>
    <w:p w14:paraId="54493041" w14:textId="4E05413F" w:rsidR="00912B9A" w:rsidRDefault="00912B9A" w:rsidP="00075864">
      <w:pPr>
        <w:pStyle w:val="Considrant"/>
        <w:rPr>
          <w:noProof/>
        </w:rPr>
      </w:pPr>
      <w:r w:rsidRPr="003F2FD3">
        <w:rPr>
          <w:noProof/>
        </w:rPr>
        <w:t xml:space="preserve">The human </w:t>
      </w:r>
      <w:r w:rsidR="002106C1">
        <w:rPr>
          <w:noProof/>
        </w:rPr>
        <w:t>be</w:t>
      </w:r>
      <w:r w:rsidR="006C344A">
        <w:rPr>
          <w:noProof/>
        </w:rPr>
        <w:t xml:space="preserve">haviour </w:t>
      </w:r>
      <w:r w:rsidRPr="003F2FD3">
        <w:rPr>
          <w:noProof/>
        </w:rPr>
        <w:t>plays a central role in the safe and effi</w:t>
      </w:r>
      <w:r>
        <w:rPr>
          <w:noProof/>
        </w:rPr>
        <w:t>cient operation of the railway.</w:t>
      </w:r>
      <w:r w:rsidRPr="003F2FD3">
        <w:rPr>
          <w:noProof/>
        </w:rPr>
        <w:t xml:space="preserve"> </w:t>
      </w:r>
      <w:r w:rsidR="006C344A">
        <w:rPr>
          <w:noProof/>
        </w:rPr>
        <w:t xml:space="preserve">Where </w:t>
      </w:r>
      <w:r w:rsidR="009A1EEF">
        <w:rPr>
          <w:noProof/>
        </w:rPr>
        <w:t>that behaviour</w:t>
      </w:r>
      <w:r w:rsidR="002B1CC2">
        <w:rPr>
          <w:noProof/>
        </w:rPr>
        <w:t xml:space="preserve"> </w:t>
      </w:r>
      <w:r w:rsidR="002B1CC2" w:rsidRPr="002B1CC2">
        <w:rPr>
          <w:noProof/>
        </w:rPr>
        <w:t xml:space="preserve">is considered </w:t>
      </w:r>
      <w:r w:rsidR="006C344A">
        <w:rPr>
          <w:noProof/>
        </w:rPr>
        <w:t xml:space="preserve">to have </w:t>
      </w:r>
      <w:r w:rsidR="002B1CC2" w:rsidRPr="002B1CC2">
        <w:rPr>
          <w:noProof/>
        </w:rPr>
        <w:t>contribut</w:t>
      </w:r>
      <w:r w:rsidR="006C344A">
        <w:rPr>
          <w:noProof/>
        </w:rPr>
        <w:t>ed</w:t>
      </w:r>
      <w:r w:rsidR="002B1CC2" w:rsidRPr="002B1CC2">
        <w:rPr>
          <w:noProof/>
        </w:rPr>
        <w:t xml:space="preserve"> to an accident or incident, </w:t>
      </w:r>
      <w:r w:rsidR="00075864" w:rsidRPr="002106C1">
        <w:rPr>
          <w:noProof/>
        </w:rPr>
        <w:t>it may be that organisational factors</w:t>
      </w:r>
      <w:r w:rsidR="002106C1" w:rsidRPr="008B562A">
        <w:rPr>
          <w:noProof/>
        </w:rPr>
        <w:t>, such as workload or job design, had an influence on that behaviour, and thus led to a lesser</w:t>
      </w:r>
      <w:r w:rsidR="00075864" w:rsidRPr="002106C1">
        <w:rPr>
          <w:noProof/>
        </w:rPr>
        <w:t xml:space="preserve"> performance and aggravati</w:t>
      </w:r>
      <w:r w:rsidR="002106C1" w:rsidRPr="008B562A">
        <w:rPr>
          <w:noProof/>
        </w:rPr>
        <w:t>o</w:t>
      </w:r>
      <w:r w:rsidR="00075864" w:rsidRPr="002106C1">
        <w:rPr>
          <w:noProof/>
        </w:rPr>
        <w:t>n</w:t>
      </w:r>
      <w:r w:rsidR="002106C1" w:rsidRPr="008B562A">
        <w:rPr>
          <w:noProof/>
        </w:rPr>
        <w:t xml:space="preserve"> of</w:t>
      </w:r>
      <w:r w:rsidR="00075864" w:rsidRPr="002106C1">
        <w:rPr>
          <w:noProof/>
        </w:rPr>
        <w:t xml:space="preserve"> the consequences</w:t>
      </w:r>
      <w:r w:rsidR="002106C1" w:rsidRPr="008B562A">
        <w:rPr>
          <w:noProof/>
        </w:rPr>
        <w:t xml:space="preserve"> of that accident or incident</w:t>
      </w:r>
      <w:r w:rsidR="00015968" w:rsidRPr="002106C1">
        <w:rPr>
          <w:noProof/>
        </w:rPr>
        <w:t>.</w:t>
      </w:r>
      <w:r w:rsidR="009A1EEF">
        <w:rPr>
          <w:noProof/>
        </w:rPr>
        <w:t xml:space="preserve"> </w:t>
      </w:r>
      <w:r>
        <w:rPr>
          <w:noProof/>
        </w:rPr>
        <w:t>Therefore</w:t>
      </w:r>
      <w:r w:rsidRPr="003F2FD3">
        <w:rPr>
          <w:noProof/>
        </w:rPr>
        <w:t xml:space="preserve">, </w:t>
      </w:r>
      <w:r>
        <w:rPr>
          <w:noProof/>
        </w:rPr>
        <w:t xml:space="preserve">it is essential that </w:t>
      </w:r>
      <w:r w:rsidRPr="003F2FD3">
        <w:rPr>
          <w:noProof/>
        </w:rPr>
        <w:t xml:space="preserve">the </w:t>
      </w:r>
      <w:r>
        <w:rPr>
          <w:noProof/>
        </w:rPr>
        <w:t>railway undertakings and infrastructure managers</w:t>
      </w:r>
      <w:r w:rsidRPr="003F2FD3">
        <w:rPr>
          <w:noProof/>
        </w:rPr>
        <w:t xml:space="preserve"> take a systematic approach to </w:t>
      </w:r>
      <w:r>
        <w:rPr>
          <w:noProof/>
        </w:rPr>
        <w:t>supporting human performance</w:t>
      </w:r>
      <w:r w:rsidRPr="003F2FD3" w:rsidDel="00B018C2">
        <w:rPr>
          <w:noProof/>
        </w:rPr>
        <w:t xml:space="preserve"> </w:t>
      </w:r>
      <w:r w:rsidRPr="003F2FD3">
        <w:rPr>
          <w:noProof/>
        </w:rPr>
        <w:t>and managing human</w:t>
      </w:r>
      <w:r w:rsidR="008369C7">
        <w:rPr>
          <w:noProof/>
        </w:rPr>
        <w:t xml:space="preserve"> and organisational</w:t>
      </w:r>
      <w:r w:rsidRPr="003F2FD3">
        <w:rPr>
          <w:noProof/>
        </w:rPr>
        <w:t xml:space="preserve"> factors within the safety management system.</w:t>
      </w:r>
    </w:p>
    <w:p w14:paraId="16CD1DC9" w14:textId="3AA4FB0F" w:rsidR="00912B9A" w:rsidRPr="002B43BA" w:rsidRDefault="00912B9A" w:rsidP="00401EE3">
      <w:pPr>
        <w:pStyle w:val="Considrant"/>
        <w:rPr>
          <w:noProof/>
        </w:rPr>
      </w:pPr>
      <w:r>
        <w:rPr>
          <w:noProof/>
        </w:rPr>
        <w:t>T</w:t>
      </w:r>
      <w:r w:rsidRPr="00C910AA">
        <w:rPr>
          <w:noProof/>
        </w:rPr>
        <w:t>he way safety is perceived, valued and pri</w:t>
      </w:r>
      <w:r>
        <w:rPr>
          <w:noProof/>
        </w:rPr>
        <w:t xml:space="preserve">oritised in an organisation </w:t>
      </w:r>
      <w:r w:rsidRPr="00C910AA">
        <w:rPr>
          <w:noProof/>
        </w:rPr>
        <w:t>reflects the real commitment to safety at all levels in the organisation</w:t>
      </w:r>
      <w:r>
        <w:rPr>
          <w:noProof/>
        </w:rPr>
        <w:t>. Therefore, it is also important for r</w:t>
      </w:r>
      <w:r w:rsidRPr="00273C88">
        <w:rPr>
          <w:noProof/>
        </w:rPr>
        <w:t>ailway undertakings</w:t>
      </w:r>
      <w:r>
        <w:rPr>
          <w:noProof/>
        </w:rPr>
        <w:t xml:space="preserve"> and infrastructure managers to identify the actions and behaviours that can shape a </w:t>
      </w:r>
      <w:r w:rsidR="00917EF7">
        <w:rPr>
          <w:noProof/>
        </w:rPr>
        <w:t xml:space="preserve">positive </w:t>
      </w:r>
      <w:r>
        <w:rPr>
          <w:noProof/>
        </w:rPr>
        <w:t xml:space="preserve">safety culture </w:t>
      </w:r>
      <w:r w:rsidR="00EF0EE1">
        <w:rPr>
          <w:noProof/>
        </w:rPr>
        <w:t xml:space="preserve">and to promote </w:t>
      </w:r>
      <w:r>
        <w:rPr>
          <w:noProof/>
        </w:rPr>
        <w:t>through their safety management system</w:t>
      </w:r>
      <w:r w:rsidR="00EF0EE1">
        <w:rPr>
          <w:noProof/>
        </w:rPr>
        <w:t xml:space="preserve"> </w:t>
      </w:r>
      <w:r w:rsidR="00BE7F0D" w:rsidRPr="00BE7F0D">
        <w:rPr>
          <w:noProof/>
        </w:rPr>
        <w:t>this culture of mutual trust, confidence and learning in which staff are encouraged to contribute to the development of safety by reporting dangerous occurrences and providing safety-related information.</w:t>
      </w:r>
    </w:p>
    <w:p w14:paraId="55FC5846" w14:textId="59C5DBE6" w:rsidR="00912B9A" w:rsidRDefault="00912B9A" w:rsidP="00505407">
      <w:pPr>
        <w:pStyle w:val="Considrant"/>
        <w:rPr>
          <w:noProof/>
        </w:rPr>
      </w:pPr>
      <w:r>
        <w:rPr>
          <w:noProof/>
        </w:rPr>
        <w:t>The safety management system should take into account the fact that Council Directive 89/391/E</w:t>
      </w:r>
      <w:r w:rsidR="00D21896">
        <w:rPr>
          <w:noProof/>
        </w:rPr>
        <w:t>E</w:t>
      </w:r>
      <w:r>
        <w:rPr>
          <w:noProof/>
        </w:rPr>
        <w:t>C</w:t>
      </w:r>
      <w:r>
        <w:rPr>
          <w:rStyle w:val="FootnoteReference"/>
          <w:noProof/>
        </w:rPr>
        <w:footnoteReference w:id="10"/>
      </w:r>
      <w:r>
        <w:rPr>
          <w:noProof/>
        </w:rPr>
        <w:t xml:space="preserve"> and its relevant individual directives are fully applicable to the protection of the health and safety of workers engaged in </w:t>
      </w:r>
      <w:r w:rsidR="00505407" w:rsidRPr="00505407">
        <w:rPr>
          <w:noProof/>
        </w:rPr>
        <w:t>railway construction, operation and maintenance</w:t>
      </w:r>
      <w:r>
        <w:rPr>
          <w:noProof/>
        </w:rPr>
        <w:t xml:space="preserve">. </w:t>
      </w:r>
      <w:r w:rsidRPr="00AE7A42">
        <w:rPr>
          <w:noProof/>
        </w:rPr>
        <w:t xml:space="preserve">It does not create any additional responsibilities </w:t>
      </w:r>
      <w:r>
        <w:rPr>
          <w:noProof/>
        </w:rPr>
        <w:t>or</w:t>
      </w:r>
      <w:r w:rsidRPr="00AE7A42">
        <w:rPr>
          <w:noProof/>
        </w:rPr>
        <w:t xml:space="preserve"> tasks for the </w:t>
      </w:r>
      <w:r w:rsidR="008C1B8A">
        <w:rPr>
          <w:noProof/>
        </w:rPr>
        <w:t>issuing</w:t>
      </w:r>
      <w:r w:rsidR="00FA70D4">
        <w:rPr>
          <w:noProof/>
        </w:rPr>
        <w:t xml:space="preserve"> authority </w:t>
      </w:r>
      <w:r w:rsidRPr="00AE7A42">
        <w:rPr>
          <w:noProof/>
        </w:rPr>
        <w:t xml:space="preserve">other than to check if </w:t>
      </w:r>
      <w:r>
        <w:rPr>
          <w:noProof/>
        </w:rPr>
        <w:t>health and safety risks</w:t>
      </w:r>
      <w:r w:rsidRPr="00AE7A42">
        <w:rPr>
          <w:noProof/>
        </w:rPr>
        <w:t xml:space="preserve"> have been taken into account by the applicant</w:t>
      </w:r>
      <w:r>
        <w:rPr>
          <w:noProof/>
        </w:rPr>
        <w:t xml:space="preserve"> for a single safety certificate</w:t>
      </w:r>
      <w:r w:rsidR="00FA70D4">
        <w:rPr>
          <w:noProof/>
        </w:rPr>
        <w:t xml:space="preserve"> or for a safety authorisation</w:t>
      </w:r>
      <w:r w:rsidRPr="00AE7A42">
        <w:rPr>
          <w:noProof/>
        </w:rPr>
        <w:t xml:space="preserve">. Responsibility for checking the compliance with </w:t>
      </w:r>
      <w:r>
        <w:rPr>
          <w:noProof/>
        </w:rPr>
        <w:t>Directive 89/391/</w:t>
      </w:r>
      <w:r w:rsidR="00D21896">
        <w:rPr>
          <w:noProof/>
        </w:rPr>
        <w:t>E</w:t>
      </w:r>
      <w:r>
        <w:rPr>
          <w:noProof/>
        </w:rPr>
        <w:t>EC</w:t>
      </w:r>
      <w:r w:rsidRPr="00AE7A42">
        <w:rPr>
          <w:noProof/>
        </w:rPr>
        <w:t xml:space="preserve"> may still be allocated on </w:t>
      </w:r>
      <w:r w:rsidR="00FA70D4">
        <w:rPr>
          <w:noProof/>
        </w:rPr>
        <w:t xml:space="preserve">other </w:t>
      </w:r>
      <w:r>
        <w:rPr>
          <w:noProof/>
        </w:rPr>
        <w:t>competent authorities appointed by the Member State</w:t>
      </w:r>
      <w:r w:rsidR="009D179C">
        <w:rPr>
          <w:noProof/>
        </w:rPr>
        <w:t>s</w:t>
      </w:r>
      <w:r>
        <w:rPr>
          <w:noProof/>
        </w:rPr>
        <w:t>.</w:t>
      </w:r>
    </w:p>
    <w:p w14:paraId="4CD34E5E" w14:textId="1691E81D" w:rsidR="00912B9A" w:rsidRDefault="00912B9A" w:rsidP="007E2FD7">
      <w:pPr>
        <w:pStyle w:val="Considrant"/>
        <w:rPr>
          <w:noProof/>
        </w:rPr>
      </w:pPr>
      <w:r>
        <w:rPr>
          <w:noProof/>
        </w:rPr>
        <w:t xml:space="preserve">The safety management system should where relevant take into consideration the potential additional risks generated by </w:t>
      </w:r>
      <w:r w:rsidR="00E75903">
        <w:rPr>
          <w:noProof/>
        </w:rPr>
        <w:t>transport</w:t>
      </w:r>
      <w:r w:rsidR="00B43634">
        <w:rPr>
          <w:noProof/>
        </w:rPr>
        <w:t>ing</w:t>
      </w:r>
      <w:r w:rsidR="00E75903">
        <w:rPr>
          <w:noProof/>
        </w:rPr>
        <w:t xml:space="preserve"> dangerous goods by rail</w:t>
      </w:r>
      <w:r>
        <w:rPr>
          <w:noProof/>
        </w:rPr>
        <w:t xml:space="preserve"> and thereby, should also take account of Directive 2008/68/EC</w:t>
      </w:r>
      <w:r>
        <w:rPr>
          <w:rStyle w:val="FootnoteReference"/>
          <w:noProof/>
        </w:rPr>
        <w:footnoteReference w:id="11"/>
      </w:r>
      <w:r>
        <w:rPr>
          <w:noProof/>
        </w:rPr>
        <w:t>.</w:t>
      </w:r>
    </w:p>
    <w:p w14:paraId="61725D4A" w14:textId="77777777" w:rsidR="00490F5E" w:rsidRPr="002B43BA" w:rsidRDefault="00490F5E" w:rsidP="00490F5E">
      <w:pPr>
        <w:pStyle w:val="Considrant"/>
        <w:rPr>
          <w:noProof/>
        </w:rPr>
      </w:pPr>
      <w:r w:rsidRPr="0002517E">
        <w:rPr>
          <w:noProof/>
        </w:rPr>
        <w:t>Regulation</w:t>
      </w:r>
      <w:r>
        <w:rPr>
          <w:noProof/>
        </w:rPr>
        <w:t>s</w:t>
      </w:r>
      <w:r w:rsidRPr="0002517E">
        <w:rPr>
          <w:noProof/>
        </w:rPr>
        <w:t xml:space="preserve"> (EU) No 1158/2010 </w:t>
      </w:r>
      <w:r>
        <w:rPr>
          <w:noProof/>
        </w:rPr>
        <w:t xml:space="preserve">and (EU) No 1169/2010 </w:t>
      </w:r>
      <w:r w:rsidR="00AC09AF">
        <w:rPr>
          <w:noProof/>
        </w:rPr>
        <w:t>will</w:t>
      </w:r>
      <w:r w:rsidRPr="0002517E">
        <w:rPr>
          <w:noProof/>
        </w:rPr>
        <w:t xml:space="preserve"> become obsolete and should </w:t>
      </w:r>
      <w:r w:rsidR="00AC09AF">
        <w:rPr>
          <w:noProof/>
        </w:rPr>
        <w:t xml:space="preserve">therefore </w:t>
      </w:r>
      <w:r w:rsidRPr="0002517E">
        <w:rPr>
          <w:noProof/>
        </w:rPr>
        <w:t>be replaced by this Regulation</w:t>
      </w:r>
      <w:r w:rsidR="0090273A">
        <w:rPr>
          <w:noProof/>
        </w:rPr>
        <w:t>.</w:t>
      </w:r>
    </w:p>
    <w:p w14:paraId="7B71C45C" w14:textId="7682670A" w:rsidR="00DC5D5F" w:rsidRDefault="00DC5D5F" w:rsidP="0014795D">
      <w:pPr>
        <w:pStyle w:val="Considrant"/>
        <w:rPr>
          <w:noProof/>
        </w:rPr>
      </w:pPr>
      <w:r>
        <w:t>As regards safety certificates, it follows from Article 10(15) of Directive (EU) 2016/798 that the national safety authority may require that the safety certificate</w:t>
      </w:r>
      <w:r w:rsidR="009F7134">
        <w:t>s</w:t>
      </w:r>
      <w:r>
        <w:t xml:space="preserve"> be revised following substantial changes to the safety regulatory framework. The changes brought about by Article 9 of Directive </w:t>
      </w:r>
      <w:r w:rsidR="0014795D">
        <w:t xml:space="preserve">(EU) </w:t>
      </w:r>
      <w:r>
        <w:t xml:space="preserve">2016/798 and by this Regulation, even though relevant and important, are not substantial. Therefore, Regulation </w:t>
      </w:r>
      <w:r w:rsidR="006B1B37">
        <w:t xml:space="preserve">(EU) </w:t>
      </w:r>
      <w:r>
        <w:t>No 11</w:t>
      </w:r>
      <w:r w:rsidR="006B1B37">
        <w:t>58</w:t>
      </w:r>
      <w:r>
        <w:t xml:space="preserve">/2010 </w:t>
      </w:r>
      <w:r w:rsidR="006E762B">
        <w:t xml:space="preserve">should </w:t>
      </w:r>
      <w:r w:rsidR="006B1B37" w:rsidRPr="002E6300">
        <w:rPr>
          <w:noProof/>
        </w:rPr>
        <w:t xml:space="preserve">apply to safety </w:t>
      </w:r>
      <w:r w:rsidR="006B1B37" w:rsidRPr="00065CEB">
        <w:rPr>
          <w:noProof/>
        </w:rPr>
        <w:t>certificates issued in accordance with</w:t>
      </w:r>
      <w:r w:rsidR="006B1B37" w:rsidRPr="00B4352F">
        <w:rPr>
          <w:noProof/>
        </w:rPr>
        <w:t xml:space="preserve"> </w:t>
      </w:r>
      <w:r w:rsidR="006B1B37" w:rsidRPr="002E6300">
        <w:rPr>
          <w:noProof/>
        </w:rPr>
        <w:t>Directive 2004/49/EC</w:t>
      </w:r>
      <w:r w:rsidR="006B1B37" w:rsidRPr="0023497A">
        <w:rPr>
          <w:noProof/>
        </w:rPr>
        <w:t xml:space="preserve"> </w:t>
      </w:r>
      <w:r w:rsidR="006B1B37">
        <w:rPr>
          <w:noProof/>
        </w:rPr>
        <w:t>of the European Parliament and of the Council</w:t>
      </w:r>
      <w:r w:rsidR="006B1B37">
        <w:rPr>
          <w:rStyle w:val="FootnoteReference"/>
          <w:noProof/>
        </w:rPr>
        <w:footnoteReference w:id="12"/>
      </w:r>
      <w:r>
        <w:t>, until their expiry</w:t>
      </w:r>
      <w:r w:rsidR="00E10EEE">
        <w:t xml:space="preserve"> date</w:t>
      </w:r>
      <w:r>
        <w:t xml:space="preserve">. </w:t>
      </w:r>
      <w:r w:rsidR="006B1B37">
        <w:rPr>
          <w:noProof/>
        </w:rPr>
        <w:t xml:space="preserve">For the same reason, it is also necessary </w:t>
      </w:r>
      <w:r w:rsidR="006B1B37">
        <w:t xml:space="preserve">to postpone the repeal of Regulation </w:t>
      </w:r>
      <w:r w:rsidR="00153A64">
        <w:t>(EU) No </w:t>
      </w:r>
      <w:r w:rsidR="0014795D" w:rsidRPr="0014795D">
        <w:t>1158/2010</w:t>
      </w:r>
      <w:r w:rsidR="0014795D">
        <w:t xml:space="preserve"> </w:t>
      </w:r>
      <w:r w:rsidR="006B1B37">
        <w:t>until the end of the last day of the period during which it may still be applied</w:t>
      </w:r>
      <w:r w:rsidR="0092401E">
        <w:t xml:space="preserve"> by national safety authorities</w:t>
      </w:r>
      <w:r w:rsidR="00F4033F">
        <w:t xml:space="preserve"> for the purposes of supervision</w:t>
      </w:r>
      <w:r>
        <w:t>. Moreover, i</w:t>
      </w:r>
      <w:r w:rsidR="0029685A" w:rsidRPr="002F6858">
        <w:rPr>
          <w:noProof/>
        </w:rPr>
        <w:t xml:space="preserve">n accordance with Directive (EU) </w:t>
      </w:r>
      <w:r w:rsidR="0052224A" w:rsidRPr="00065CEB">
        <w:rPr>
          <w:noProof/>
        </w:rPr>
        <w:t>2016/798</w:t>
      </w:r>
      <w:r w:rsidR="0029685A" w:rsidRPr="00B4352F">
        <w:rPr>
          <w:noProof/>
        </w:rPr>
        <w:t xml:space="preserve">, </w:t>
      </w:r>
      <w:r w:rsidR="003C7573" w:rsidRPr="00B4352F">
        <w:rPr>
          <w:noProof/>
        </w:rPr>
        <w:t xml:space="preserve">existing safety </w:t>
      </w:r>
      <w:r w:rsidR="003C7573" w:rsidRPr="002E6300">
        <w:rPr>
          <w:noProof/>
        </w:rPr>
        <w:t>certificates</w:t>
      </w:r>
      <w:r w:rsidR="00D9739B">
        <w:rPr>
          <w:noProof/>
        </w:rPr>
        <w:t xml:space="preserve"> </w:t>
      </w:r>
      <w:r w:rsidR="003C7573" w:rsidRPr="002E6300">
        <w:rPr>
          <w:noProof/>
        </w:rPr>
        <w:t xml:space="preserve">continue to be subject </w:t>
      </w:r>
      <w:r w:rsidR="008B6893" w:rsidRPr="002E6300">
        <w:rPr>
          <w:noProof/>
        </w:rPr>
        <w:t xml:space="preserve">to </w:t>
      </w:r>
      <w:r w:rsidR="003C7573" w:rsidRPr="002E6300">
        <w:rPr>
          <w:noProof/>
        </w:rPr>
        <w:t xml:space="preserve">Directive 2004/49/EC, </w:t>
      </w:r>
      <w:r w:rsidR="0023497A">
        <w:rPr>
          <w:noProof/>
        </w:rPr>
        <w:t xml:space="preserve">on </w:t>
      </w:r>
      <w:r w:rsidR="003C7573" w:rsidRPr="002E6300">
        <w:rPr>
          <w:noProof/>
        </w:rPr>
        <w:t xml:space="preserve">which </w:t>
      </w:r>
      <w:r w:rsidR="003C7573" w:rsidRPr="00B27725">
        <w:rPr>
          <w:noProof/>
        </w:rPr>
        <w:t xml:space="preserve">Regulation (EU) No 1158/2010 </w:t>
      </w:r>
      <w:r w:rsidR="000C744F" w:rsidRPr="00B27725">
        <w:rPr>
          <w:noProof/>
        </w:rPr>
        <w:t xml:space="preserve">was </w:t>
      </w:r>
      <w:r w:rsidR="0023497A" w:rsidRPr="00B27725">
        <w:rPr>
          <w:noProof/>
        </w:rPr>
        <w:t>based</w:t>
      </w:r>
      <w:r w:rsidR="003C7573" w:rsidRPr="002E6300">
        <w:rPr>
          <w:noProof/>
        </w:rPr>
        <w:t>.</w:t>
      </w:r>
    </w:p>
    <w:p w14:paraId="5686ED83" w14:textId="77777777" w:rsidR="008A2F5C" w:rsidRPr="002E6300" w:rsidRDefault="008A2F5C" w:rsidP="0014795D">
      <w:pPr>
        <w:pStyle w:val="Considrant"/>
        <w:rPr>
          <w:noProof/>
        </w:rPr>
      </w:pPr>
      <w:r>
        <w:t>As regards safety authorisations, it follows from Article 12(2), second subparagraph of Directive (EU) 2016/798 that the national safety authority may require that the safety authorisation</w:t>
      </w:r>
      <w:r w:rsidR="009F7134">
        <w:t>s</w:t>
      </w:r>
      <w:r>
        <w:t xml:space="preserve"> be revised following substantial changes to the safety regulatory framework. The changes brought about by Article 9 of Directive 2016/798 and by this Regulation, even though relevant and important, are not substantial. Therefore, Regulation </w:t>
      </w:r>
      <w:r w:rsidR="00E10EEE">
        <w:t xml:space="preserve">(EU) </w:t>
      </w:r>
      <w:r>
        <w:t xml:space="preserve">No 1169/2010 </w:t>
      </w:r>
      <w:r w:rsidR="0014795D">
        <w:t xml:space="preserve">should </w:t>
      </w:r>
      <w:r w:rsidR="00E10EEE">
        <w:t>apply</w:t>
      </w:r>
      <w:r>
        <w:t xml:space="preserve"> to safety authorisations issued </w:t>
      </w:r>
      <w:r w:rsidR="00E10EEE">
        <w:t>in accordance with</w:t>
      </w:r>
      <w:r>
        <w:t xml:space="preserve"> Directive 2004/49/EC, until their expiry</w:t>
      </w:r>
      <w:r w:rsidR="00627148">
        <w:t xml:space="preserve"> date</w:t>
      </w:r>
      <w:r>
        <w:t xml:space="preserve">. </w:t>
      </w:r>
      <w:r w:rsidR="00627148">
        <w:rPr>
          <w:noProof/>
        </w:rPr>
        <w:t xml:space="preserve">For the same reason, it is also necessary </w:t>
      </w:r>
      <w:r w:rsidR="00627148">
        <w:t>to postpone the repeal of Regulation</w:t>
      </w:r>
      <w:r w:rsidR="0014795D">
        <w:t xml:space="preserve"> </w:t>
      </w:r>
      <w:r w:rsidR="0014795D" w:rsidRPr="0014795D">
        <w:t>(EU) No 1169/2010</w:t>
      </w:r>
      <w:r w:rsidR="00627148">
        <w:t xml:space="preserve"> </w:t>
      </w:r>
      <w:r w:rsidR="00463374">
        <w:t>until</w:t>
      </w:r>
      <w:r w:rsidR="00627148">
        <w:t xml:space="preserve"> the end of the last day of the period during which it may still be </w:t>
      </w:r>
      <w:r w:rsidR="00EE6AC4">
        <w:t>applied</w:t>
      </w:r>
      <w:r w:rsidR="0092401E">
        <w:t xml:space="preserve"> by national safety authorities</w:t>
      </w:r>
      <w:r w:rsidR="00F4033F">
        <w:t xml:space="preserve"> for the purposes of supervision</w:t>
      </w:r>
      <w:r w:rsidR="00EE6AC4">
        <w:t>,</w:t>
      </w:r>
    </w:p>
    <w:p w14:paraId="1152B09B" w14:textId="77777777" w:rsidR="00912B9A" w:rsidRPr="002B43BA" w:rsidRDefault="00912B9A">
      <w:pPr>
        <w:pStyle w:val="Formuledadoption"/>
        <w:rPr>
          <w:noProof/>
        </w:rPr>
      </w:pPr>
      <w:r w:rsidRPr="002B43BA">
        <w:rPr>
          <w:noProof/>
        </w:rPr>
        <w:t>HAS ADOPTED THIS REGULATION:</w:t>
      </w:r>
    </w:p>
    <w:p w14:paraId="2C4DE102" w14:textId="77777777" w:rsidR="00912B9A" w:rsidRPr="002B43BA" w:rsidRDefault="00912B9A">
      <w:pPr>
        <w:pStyle w:val="Titrearticle"/>
        <w:rPr>
          <w:noProof/>
        </w:rPr>
      </w:pPr>
      <w:r w:rsidRPr="002B43BA">
        <w:rPr>
          <w:noProof/>
        </w:rPr>
        <w:t>Article 1</w:t>
      </w:r>
    </w:p>
    <w:p w14:paraId="42BDD421" w14:textId="77777777" w:rsidR="00425401" w:rsidRDefault="00912B9A" w:rsidP="00425401">
      <w:pPr>
        <w:pStyle w:val="NormalCentered"/>
        <w:rPr>
          <w:b/>
          <w:bCs/>
          <w:noProof/>
        </w:rPr>
      </w:pPr>
      <w:r w:rsidRPr="002B43BA">
        <w:rPr>
          <w:b/>
          <w:bCs/>
          <w:noProof/>
        </w:rPr>
        <w:t>Subject</w:t>
      </w:r>
      <w:r>
        <w:rPr>
          <w:b/>
          <w:bCs/>
          <w:noProof/>
        </w:rPr>
        <w:t xml:space="preserve"> </w:t>
      </w:r>
      <w:r w:rsidRPr="002B43BA">
        <w:rPr>
          <w:b/>
          <w:bCs/>
          <w:noProof/>
        </w:rPr>
        <w:t>matter</w:t>
      </w:r>
      <w:r w:rsidR="00425401">
        <w:rPr>
          <w:b/>
          <w:bCs/>
          <w:noProof/>
        </w:rPr>
        <w:t xml:space="preserve"> and scope</w:t>
      </w:r>
    </w:p>
    <w:p w14:paraId="077FDDFE" w14:textId="77777777" w:rsidR="00425401" w:rsidRDefault="00176F4A" w:rsidP="00425401">
      <w:pPr>
        <w:pStyle w:val="NumPar1"/>
        <w:numPr>
          <w:ilvl w:val="0"/>
          <w:numId w:val="9"/>
        </w:numPr>
        <w:rPr>
          <w:noProof/>
        </w:rPr>
      </w:pPr>
      <w:r w:rsidRPr="00176F4A">
        <w:rPr>
          <w:noProof/>
        </w:rPr>
        <w:t xml:space="preserve">This Regulation </w:t>
      </w:r>
      <w:r>
        <w:rPr>
          <w:noProof/>
        </w:rPr>
        <w:t>establishes</w:t>
      </w:r>
      <w:r w:rsidRPr="00176F4A">
        <w:rPr>
          <w:noProof/>
        </w:rPr>
        <w:t xml:space="preserve"> common safety methods ('CSMs') on safety management system requirements related to railway undertakings and infrastructure managers, as referred to in point (f) of Article 6(1) of Directive (EU) 2016/798.</w:t>
      </w:r>
    </w:p>
    <w:p w14:paraId="4F74113F" w14:textId="77777777" w:rsidR="00425401" w:rsidRPr="00425401" w:rsidRDefault="00425401" w:rsidP="00425401">
      <w:pPr>
        <w:pStyle w:val="NumPar1"/>
        <w:numPr>
          <w:ilvl w:val="0"/>
          <w:numId w:val="9"/>
        </w:numPr>
        <w:rPr>
          <w:noProof/>
        </w:rPr>
      </w:pPr>
      <w:r>
        <w:rPr>
          <w:noProof/>
        </w:rPr>
        <w:t xml:space="preserve">This Regulation shall apply in respect of </w:t>
      </w:r>
      <w:r w:rsidR="00200CC2">
        <w:rPr>
          <w:noProof/>
        </w:rPr>
        <w:t xml:space="preserve">single </w:t>
      </w:r>
      <w:r>
        <w:rPr>
          <w:noProof/>
        </w:rPr>
        <w:t>safety certificates and safety authorisations issued pursuant to Directive (EU) 2016/798.</w:t>
      </w:r>
    </w:p>
    <w:p w14:paraId="32C66BAA" w14:textId="77777777" w:rsidR="00912B9A" w:rsidRPr="002B43BA" w:rsidRDefault="00912B9A">
      <w:pPr>
        <w:pStyle w:val="Titrearticle"/>
        <w:rPr>
          <w:noProof/>
        </w:rPr>
      </w:pPr>
      <w:r w:rsidRPr="002B43BA">
        <w:rPr>
          <w:noProof/>
        </w:rPr>
        <w:t xml:space="preserve">Article </w:t>
      </w:r>
      <w:r w:rsidR="00B61465">
        <w:rPr>
          <w:noProof/>
        </w:rPr>
        <w:t>2</w:t>
      </w:r>
    </w:p>
    <w:p w14:paraId="011D2111" w14:textId="77777777" w:rsidR="00912B9A" w:rsidRPr="002B43BA" w:rsidRDefault="003E467D" w:rsidP="00153A64">
      <w:pPr>
        <w:pStyle w:val="NormalCentered"/>
        <w:keepNext/>
        <w:rPr>
          <w:b/>
          <w:bCs/>
          <w:noProof/>
        </w:rPr>
      </w:pPr>
      <w:r>
        <w:rPr>
          <w:b/>
          <w:bCs/>
          <w:noProof/>
        </w:rPr>
        <w:t>Definition</w:t>
      </w:r>
    </w:p>
    <w:p w14:paraId="558A4784" w14:textId="4148CA75" w:rsidR="00F30B3D" w:rsidRDefault="00912B9A" w:rsidP="00CA0BD8">
      <w:pPr>
        <w:rPr>
          <w:noProof/>
        </w:rPr>
      </w:pPr>
      <w:r w:rsidRPr="002B43BA">
        <w:rPr>
          <w:noProof/>
        </w:rPr>
        <w:t>For the purposes of this Regulation,</w:t>
      </w:r>
      <w:r w:rsidR="004E75D8" w:rsidRPr="00F46FAE">
        <w:rPr>
          <w:noProof/>
        </w:rPr>
        <w:t xml:space="preserve">‘safety certification body’ </w:t>
      </w:r>
      <w:r w:rsidR="004E75D8">
        <w:rPr>
          <w:noProof/>
        </w:rPr>
        <w:t xml:space="preserve">means the </w:t>
      </w:r>
      <w:r w:rsidR="004E75D8" w:rsidRPr="00F46FAE">
        <w:rPr>
          <w:noProof/>
        </w:rPr>
        <w:t xml:space="preserve">body responsible for </w:t>
      </w:r>
      <w:r w:rsidR="004E75D8">
        <w:rPr>
          <w:noProof/>
        </w:rPr>
        <w:t>issuing</w:t>
      </w:r>
      <w:r w:rsidR="004E75D8" w:rsidRPr="00F46FAE">
        <w:rPr>
          <w:noProof/>
        </w:rPr>
        <w:t xml:space="preserve"> </w:t>
      </w:r>
      <w:r w:rsidR="004E75D8">
        <w:rPr>
          <w:noProof/>
        </w:rPr>
        <w:t>a</w:t>
      </w:r>
      <w:r w:rsidR="004E75D8" w:rsidRPr="00F46FAE">
        <w:rPr>
          <w:noProof/>
        </w:rPr>
        <w:t xml:space="preserve"> single safety certificate</w:t>
      </w:r>
      <w:r w:rsidR="004E75D8">
        <w:rPr>
          <w:noProof/>
        </w:rPr>
        <w:t>,</w:t>
      </w:r>
      <w:r w:rsidR="004E75D8" w:rsidRPr="00F46FAE">
        <w:rPr>
          <w:noProof/>
        </w:rPr>
        <w:t xml:space="preserve"> </w:t>
      </w:r>
      <w:r w:rsidR="004E75D8">
        <w:rPr>
          <w:noProof/>
        </w:rPr>
        <w:t xml:space="preserve">either the Agency </w:t>
      </w:r>
      <w:r w:rsidR="004E75D8" w:rsidRPr="00F46FAE">
        <w:rPr>
          <w:noProof/>
        </w:rPr>
        <w:t>or</w:t>
      </w:r>
      <w:r w:rsidR="004E75D8">
        <w:rPr>
          <w:noProof/>
        </w:rPr>
        <w:t xml:space="preserve"> a</w:t>
      </w:r>
      <w:r w:rsidR="004E75D8" w:rsidRPr="00F46FAE">
        <w:rPr>
          <w:noProof/>
        </w:rPr>
        <w:t xml:space="preserve"> </w:t>
      </w:r>
      <w:r w:rsidR="004E75D8" w:rsidRPr="00A2150F">
        <w:rPr>
          <w:noProof/>
        </w:rPr>
        <w:t>national safety authorit</w:t>
      </w:r>
      <w:r w:rsidR="004E75D8">
        <w:rPr>
          <w:noProof/>
        </w:rPr>
        <w:t>y.</w:t>
      </w:r>
    </w:p>
    <w:p w14:paraId="34E67197" w14:textId="77777777" w:rsidR="00912B9A" w:rsidRDefault="00912B9A">
      <w:pPr>
        <w:pStyle w:val="Titrearticle"/>
        <w:rPr>
          <w:noProof/>
        </w:rPr>
      </w:pPr>
      <w:r w:rsidRPr="00F46FAE">
        <w:rPr>
          <w:noProof/>
        </w:rPr>
        <w:t xml:space="preserve">Article </w:t>
      </w:r>
      <w:r w:rsidR="00584CA4">
        <w:rPr>
          <w:noProof/>
        </w:rPr>
        <w:t>3</w:t>
      </w:r>
    </w:p>
    <w:p w14:paraId="07A07C9C" w14:textId="77777777" w:rsidR="00912B9A" w:rsidRPr="00F46FAE" w:rsidRDefault="00FA1791">
      <w:pPr>
        <w:pStyle w:val="NormalCentered"/>
        <w:rPr>
          <w:b/>
          <w:bCs/>
          <w:noProof/>
        </w:rPr>
      </w:pPr>
      <w:r w:rsidRPr="00FA1791">
        <w:rPr>
          <w:b/>
          <w:bCs/>
          <w:noProof/>
        </w:rPr>
        <w:t>Safety management system requirements related to railway undertakings</w:t>
      </w:r>
    </w:p>
    <w:p w14:paraId="32D91C7A" w14:textId="77777777" w:rsidR="00B43634" w:rsidRDefault="009A5C04" w:rsidP="00DF23A9">
      <w:r>
        <w:t>Railway undertakings shall establish their safety management system</w:t>
      </w:r>
      <w:r w:rsidR="00E3505D">
        <w:t>s</w:t>
      </w:r>
      <w:r>
        <w:t xml:space="preserve"> in accordance with the requirements set out in Annex I.</w:t>
      </w:r>
    </w:p>
    <w:p w14:paraId="4E2649D0" w14:textId="77777777" w:rsidR="00EC13ED" w:rsidRPr="00DF23A9" w:rsidRDefault="00EC13ED" w:rsidP="00DF23A9">
      <w:r>
        <w:t>T</w:t>
      </w:r>
      <w:r w:rsidRPr="00EC13ED">
        <w:t>h</w:t>
      </w:r>
      <w:r w:rsidR="0023497A">
        <w:t>ose</w:t>
      </w:r>
      <w:r w:rsidRPr="00EC13ED">
        <w:t xml:space="preserve"> safety management system requirements </w:t>
      </w:r>
      <w:r w:rsidR="00C5782D">
        <w:t xml:space="preserve">shall </w:t>
      </w:r>
      <w:r>
        <w:t>apply</w:t>
      </w:r>
      <w:r w:rsidRPr="00EC13ED">
        <w:t xml:space="preserve"> </w:t>
      </w:r>
      <w:r>
        <w:t xml:space="preserve">to </w:t>
      </w:r>
      <w:r w:rsidR="00C5782D">
        <w:t xml:space="preserve">the </w:t>
      </w:r>
      <w:r w:rsidRPr="00EC13ED">
        <w:t xml:space="preserve">single safety certificates </w:t>
      </w:r>
      <w:r w:rsidR="00C5782D">
        <w:t>referred to in</w:t>
      </w:r>
      <w:r w:rsidRPr="00EC13ED">
        <w:t xml:space="preserve"> Article 10 of Directive (EU) 2016/798</w:t>
      </w:r>
      <w:r>
        <w:t>, f</w:t>
      </w:r>
      <w:r w:rsidRPr="00EC13ED">
        <w:t xml:space="preserve">or the </w:t>
      </w:r>
      <w:r w:rsidR="00C5782D">
        <w:t xml:space="preserve">purposes </w:t>
      </w:r>
      <w:r w:rsidR="00C5782D" w:rsidRPr="00DF23A9">
        <w:t xml:space="preserve">of </w:t>
      </w:r>
      <w:r w:rsidR="000D3B63" w:rsidRPr="00DF23A9">
        <w:t xml:space="preserve">the </w:t>
      </w:r>
      <w:r w:rsidRPr="00DF23A9">
        <w:t xml:space="preserve">assessment </w:t>
      </w:r>
      <w:r w:rsidR="000D3B63" w:rsidRPr="00DF23A9">
        <w:t xml:space="preserve">of applications </w:t>
      </w:r>
      <w:r w:rsidRPr="00DF23A9">
        <w:t xml:space="preserve">and </w:t>
      </w:r>
      <w:r w:rsidR="000D3B63" w:rsidRPr="00DF23A9">
        <w:t>of</w:t>
      </w:r>
      <w:r w:rsidR="000D3B63">
        <w:t xml:space="preserve"> </w:t>
      </w:r>
      <w:r w:rsidRPr="00EC13ED">
        <w:t>supervision</w:t>
      </w:r>
      <w:r>
        <w:t>.</w:t>
      </w:r>
    </w:p>
    <w:p w14:paraId="2DEA9412" w14:textId="77777777" w:rsidR="00912B9A" w:rsidRDefault="00912B9A" w:rsidP="00862F1C">
      <w:pPr>
        <w:pStyle w:val="Titrearticle"/>
        <w:rPr>
          <w:noProof/>
        </w:rPr>
      </w:pPr>
      <w:r>
        <w:rPr>
          <w:noProof/>
        </w:rPr>
        <w:t xml:space="preserve">Article </w:t>
      </w:r>
      <w:r w:rsidR="00584CA4">
        <w:rPr>
          <w:noProof/>
        </w:rPr>
        <w:t>4</w:t>
      </w:r>
    </w:p>
    <w:p w14:paraId="1B3F3269" w14:textId="77777777" w:rsidR="006A6814" w:rsidRPr="00134EBC" w:rsidRDefault="006A6814" w:rsidP="00134EBC">
      <w:pPr>
        <w:jc w:val="center"/>
        <w:rPr>
          <w:b/>
        </w:rPr>
      </w:pPr>
      <w:r w:rsidRPr="00134EBC">
        <w:rPr>
          <w:b/>
        </w:rPr>
        <w:t>Safety management system requirements related to infrastructure managers</w:t>
      </w:r>
    </w:p>
    <w:p w14:paraId="627D9EA4" w14:textId="77777777" w:rsidR="009A5C04" w:rsidRDefault="009A5C04" w:rsidP="009A5C04">
      <w:r>
        <w:t>Infrastructure managers shall establish their safety management system</w:t>
      </w:r>
      <w:r w:rsidR="00E3505D">
        <w:t>s</w:t>
      </w:r>
      <w:r>
        <w:t xml:space="preserve"> in accordance with the requirements set out in Annex II.</w:t>
      </w:r>
    </w:p>
    <w:p w14:paraId="083BD1C6" w14:textId="77777777" w:rsidR="00C5782D" w:rsidRDefault="00C5782D" w:rsidP="00DF23A9">
      <w:r w:rsidRPr="00DF23A9">
        <w:t>Th</w:t>
      </w:r>
      <w:r w:rsidR="0023497A">
        <w:t>ose</w:t>
      </w:r>
      <w:r w:rsidRPr="00DF23A9">
        <w:t xml:space="preserve"> safety management system requirements shall apply to the safety authorisations referred to in Article 12 of Directive (EU) 2016/798, for the purposes of the</w:t>
      </w:r>
      <w:r w:rsidR="000D3B63" w:rsidRPr="00DF23A9">
        <w:t xml:space="preserve"> </w:t>
      </w:r>
      <w:r w:rsidRPr="00DF23A9">
        <w:t xml:space="preserve">assessment </w:t>
      </w:r>
      <w:r w:rsidR="000D3B63" w:rsidRPr="00DF23A9">
        <w:t xml:space="preserve">of applications </w:t>
      </w:r>
      <w:r w:rsidRPr="00DF23A9">
        <w:t xml:space="preserve">and </w:t>
      </w:r>
      <w:r w:rsidR="000D3B63" w:rsidRPr="00DF23A9">
        <w:t xml:space="preserve">of </w:t>
      </w:r>
      <w:r w:rsidRPr="00DF23A9">
        <w:t>supervision.</w:t>
      </w:r>
    </w:p>
    <w:p w14:paraId="79EB4463" w14:textId="77777777" w:rsidR="00912B9A" w:rsidRDefault="00912B9A" w:rsidP="004558ED">
      <w:pPr>
        <w:pStyle w:val="Titrearticle"/>
        <w:rPr>
          <w:noProof/>
        </w:rPr>
      </w:pPr>
      <w:r w:rsidRPr="00D921F7">
        <w:rPr>
          <w:noProof/>
        </w:rPr>
        <w:t xml:space="preserve">Article </w:t>
      </w:r>
      <w:r w:rsidR="00FA3AD5">
        <w:rPr>
          <w:noProof/>
        </w:rPr>
        <w:t>5</w:t>
      </w:r>
    </w:p>
    <w:p w14:paraId="51AB714A" w14:textId="77777777" w:rsidR="00912B9A" w:rsidRPr="004558ED" w:rsidRDefault="00912B9A" w:rsidP="004558ED">
      <w:pPr>
        <w:pStyle w:val="NormalCentered"/>
        <w:rPr>
          <w:b/>
          <w:bCs/>
          <w:noProof/>
        </w:rPr>
      </w:pPr>
      <w:r w:rsidRPr="004558ED">
        <w:rPr>
          <w:b/>
          <w:bCs/>
          <w:noProof/>
        </w:rPr>
        <w:t>Repeal</w:t>
      </w:r>
    </w:p>
    <w:p w14:paraId="3926104E" w14:textId="77777777" w:rsidR="00DF3E23" w:rsidRDefault="00DF3E23" w:rsidP="00D047BB">
      <w:r w:rsidRPr="002878EC">
        <w:t>Regulation</w:t>
      </w:r>
      <w:r w:rsidR="00405985">
        <w:t>s</w:t>
      </w:r>
      <w:r w:rsidRPr="002878EC">
        <w:t xml:space="preserve"> (EU) No 1158/2010</w:t>
      </w:r>
      <w:r w:rsidR="00405985">
        <w:t xml:space="preserve"> and </w:t>
      </w:r>
      <w:r w:rsidR="00405985" w:rsidRPr="000D0869">
        <w:t>(EU) No 1169/2010</w:t>
      </w:r>
      <w:r w:rsidRPr="002878EC">
        <w:t xml:space="preserve"> </w:t>
      </w:r>
      <w:r w:rsidR="00405985">
        <w:t>are</w:t>
      </w:r>
      <w:r w:rsidR="00405985" w:rsidRPr="002878EC">
        <w:t xml:space="preserve"> </w:t>
      </w:r>
      <w:r w:rsidR="00153A64">
        <w:t>repealed with effect from 16 June </w:t>
      </w:r>
      <w:r w:rsidR="000C744F" w:rsidRPr="00593601">
        <w:t>2025</w:t>
      </w:r>
      <w:r w:rsidR="000C744F" w:rsidRPr="002878EC">
        <w:t>.</w:t>
      </w:r>
    </w:p>
    <w:p w14:paraId="044C53CF" w14:textId="77777777" w:rsidR="00912B9A" w:rsidRPr="00F46FAE" w:rsidRDefault="00912B9A">
      <w:pPr>
        <w:pStyle w:val="Titrearticle"/>
        <w:rPr>
          <w:noProof/>
        </w:rPr>
      </w:pPr>
      <w:r w:rsidRPr="00D921F7">
        <w:rPr>
          <w:noProof/>
        </w:rPr>
        <w:t xml:space="preserve">Article </w:t>
      </w:r>
      <w:r w:rsidR="00FA3AD5">
        <w:rPr>
          <w:noProof/>
        </w:rPr>
        <w:t>6</w:t>
      </w:r>
    </w:p>
    <w:p w14:paraId="7F37ED02" w14:textId="77777777" w:rsidR="00912B9A" w:rsidRPr="00F46FAE" w:rsidRDefault="00912B9A">
      <w:pPr>
        <w:pStyle w:val="NormalCentered"/>
        <w:rPr>
          <w:b/>
          <w:bCs/>
          <w:noProof/>
        </w:rPr>
      </w:pPr>
      <w:r w:rsidRPr="00F46FAE">
        <w:rPr>
          <w:b/>
          <w:bCs/>
          <w:noProof/>
        </w:rPr>
        <w:t>Entry into force</w:t>
      </w:r>
      <w:r w:rsidR="008A54C1">
        <w:rPr>
          <w:b/>
          <w:bCs/>
          <w:noProof/>
        </w:rPr>
        <w:t xml:space="preserve"> and application</w:t>
      </w:r>
    </w:p>
    <w:p w14:paraId="1F8C6A80" w14:textId="77777777" w:rsidR="00912B9A" w:rsidRDefault="00912B9A">
      <w:pPr>
        <w:rPr>
          <w:noProof/>
        </w:rPr>
      </w:pPr>
      <w:r w:rsidRPr="00F46FAE">
        <w:rPr>
          <w:noProof/>
        </w:rPr>
        <w:t xml:space="preserve">This Regulation shall enter into force on the twentieth day following that of its publication in the </w:t>
      </w:r>
      <w:r w:rsidRPr="00F46FAE">
        <w:rPr>
          <w:i/>
          <w:iCs/>
          <w:noProof/>
        </w:rPr>
        <w:t>Official Journal of the European Union</w:t>
      </w:r>
      <w:r w:rsidRPr="00F46FAE">
        <w:rPr>
          <w:noProof/>
        </w:rPr>
        <w:t>.</w:t>
      </w:r>
    </w:p>
    <w:p w14:paraId="68DE853E" w14:textId="77777777" w:rsidR="00912B9A" w:rsidRPr="00F46FAE" w:rsidRDefault="00912B9A">
      <w:pPr>
        <w:rPr>
          <w:noProof/>
        </w:rPr>
      </w:pPr>
      <w:r>
        <w:rPr>
          <w:noProof/>
        </w:rPr>
        <w:t xml:space="preserve">It shall apply from 16 June 2019 </w:t>
      </w:r>
      <w:r w:rsidRPr="0050101B">
        <w:rPr>
          <w:noProof/>
        </w:rPr>
        <w:t xml:space="preserve">in the Member States that have not notified the Agency </w:t>
      </w:r>
      <w:r>
        <w:rPr>
          <w:noProof/>
        </w:rPr>
        <w:t>and</w:t>
      </w:r>
      <w:r w:rsidRPr="0050101B">
        <w:rPr>
          <w:noProof/>
        </w:rPr>
        <w:t xml:space="preserve"> the Commission in accordance with Article 33(2) of </w:t>
      </w:r>
      <w:r w:rsidRPr="00623C18">
        <w:rPr>
          <w:noProof/>
        </w:rPr>
        <w:t>Directive</w:t>
      </w:r>
      <w:r>
        <w:rPr>
          <w:noProof/>
        </w:rPr>
        <w:t xml:space="preserve"> (EU)</w:t>
      </w:r>
      <w:r w:rsidRPr="00623C18">
        <w:rPr>
          <w:noProof/>
        </w:rPr>
        <w:t xml:space="preserve"> </w:t>
      </w:r>
      <w:r>
        <w:rPr>
          <w:noProof/>
        </w:rPr>
        <w:t>2016</w:t>
      </w:r>
      <w:r w:rsidRPr="00623C18">
        <w:rPr>
          <w:noProof/>
        </w:rPr>
        <w:t>/</w:t>
      </w:r>
      <w:r>
        <w:rPr>
          <w:noProof/>
        </w:rPr>
        <w:t>798</w:t>
      </w:r>
      <w:r w:rsidRPr="0050101B">
        <w:rPr>
          <w:noProof/>
        </w:rPr>
        <w:t xml:space="preserve">. It shall apply </w:t>
      </w:r>
      <w:r w:rsidR="004D71D5">
        <w:rPr>
          <w:noProof/>
        </w:rPr>
        <w:t xml:space="preserve">in all Member States </w:t>
      </w:r>
      <w:r>
        <w:rPr>
          <w:noProof/>
        </w:rPr>
        <w:t>from</w:t>
      </w:r>
      <w:r w:rsidRPr="0050101B">
        <w:rPr>
          <w:noProof/>
        </w:rPr>
        <w:t xml:space="preserve"> </w:t>
      </w:r>
      <w:r>
        <w:rPr>
          <w:noProof/>
        </w:rPr>
        <w:t>16 June 2020</w:t>
      </w:r>
      <w:r w:rsidRPr="0050101B">
        <w:rPr>
          <w:noProof/>
        </w:rPr>
        <w:t>.</w:t>
      </w:r>
    </w:p>
    <w:p w14:paraId="3BAA8612" w14:textId="77777777" w:rsidR="00912B9A" w:rsidRPr="00F46FAE" w:rsidRDefault="00912B9A">
      <w:pPr>
        <w:pStyle w:val="Applicationdirecte"/>
        <w:rPr>
          <w:noProof/>
        </w:rPr>
      </w:pPr>
      <w:r w:rsidRPr="00F46FAE">
        <w:rPr>
          <w:noProof/>
        </w:rPr>
        <w:t>This Regulation shall be binding in its entirety and directly applicable in all Member States.</w:t>
      </w:r>
    </w:p>
    <w:p w14:paraId="17E6459F" w14:textId="77777777" w:rsidR="00912B9A" w:rsidRPr="00F46FAE" w:rsidRDefault="00B50A51" w:rsidP="00B50A51">
      <w:pPr>
        <w:pStyle w:val="Fait"/>
        <w:rPr>
          <w:noProof/>
        </w:rPr>
      </w:pPr>
      <w:r w:rsidRPr="00B50A51">
        <w:t>Done at Brussels,</w:t>
      </w:r>
    </w:p>
    <w:p w14:paraId="78099982" w14:textId="77777777" w:rsidR="007E2FD7" w:rsidRDefault="007E2FD7" w:rsidP="007E2FD7">
      <w:pPr>
        <w:pStyle w:val="Institutionquisigne"/>
      </w:pPr>
      <w:r w:rsidRPr="00F3370B">
        <w:tab/>
        <w:t>For the Commission</w:t>
      </w:r>
    </w:p>
    <w:p w14:paraId="23530BA3" w14:textId="77777777" w:rsidR="007E2FD7" w:rsidRPr="00F3370B" w:rsidRDefault="007E2FD7" w:rsidP="007E2FD7">
      <w:pPr>
        <w:pStyle w:val="Personnequisigne"/>
      </w:pPr>
      <w:r w:rsidRPr="00F3370B">
        <w:tab/>
        <w:t>The President</w:t>
      </w:r>
      <w:r w:rsidRPr="00F3370B">
        <w:br/>
      </w:r>
      <w:r w:rsidRPr="00F3370B">
        <w:tab/>
      </w:r>
      <w:r w:rsidRPr="00DE03E8">
        <w:t>Jean-Claude Juncker</w:t>
      </w:r>
    </w:p>
    <w:sectPr w:rsidR="007E2FD7" w:rsidRPr="00F3370B" w:rsidSect="00786948">
      <w:pgSz w:w="11907" w:h="1683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F9DAF" w14:textId="77777777" w:rsidR="00166B2F" w:rsidRDefault="00166B2F" w:rsidP="00912B9A">
      <w:pPr>
        <w:spacing w:before="0" w:after="0"/>
      </w:pPr>
      <w:r>
        <w:separator/>
      </w:r>
    </w:p>
  </w:endnote>
  <w:endnote w:type="continuationSeparator" w:id="0">
    <w:p w14:paraId="2DA87DC8" w14:textId="77777777" w:rsidR="00166B2F" w:rsidRDefault="00166B2F" w:rsidP="00912B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Times New Roman Bold"/>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670E" w14:textId="77777777" w:rsidR="00786948" w:rsidRPr="00786948" w:rsidRDefault="00786948" w:rsidP="00786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B7D4" w14:textId="59F092BB" w:rsidR="00A240E2" w:rsidRPr="00786948" w:rsidRDefault="00786948" w:rsidP="00786948">
    <w:pPr>
      <w:pStyle w:val="Footer"/>
      <w:rPr>
        <w:rFonts w:ascii="Arial" w:hAnsi="Arial" w:cs="Arial"/>
        <w:b/>
        <w:sz w:val="48"/>
      </w:rPr>
    </w:pPr>
    <w:r w:rsidRPr="00786948">
      <w:rPr>
        <w:rFonts w:ascii="Arial" w:hAnsi="Arial" w:cs="Arial"/>
        <w:b/>
        <w:sz w:val="48"/>
      </w:rPr>
      <w:t>EN</w:t>
    </w:r>
    <w:r w:rsidRPr="00786948">
      <w:rPr>
        <w:rFonts w:ascii="Arial" w:hAnsi="Arial" w:cs="Arial"/>
        <w:b/>
        <w:sz w:val="48"/>
      </w:rPr>
      <w:tab/>
    </w:r>
    <w:r w:rsidRPr="00786948">
      <w:rPr>
        <w:rFonts w:ascii="Arial" w:hAnsi="Arial" w:cs="Arial"/>
        <w:b/>
        <w:sz w:val="48"/>
      </w:rPr>
      <w:tab/>
    </w:r>
    <w:r w:rsidRPr="00786948">
      <w:tab/>
    </w:r>
    <w:proofErr w:type="spellStart"/>
    <w:r w:rsidRPr="00786948">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F371" w14:textId="77777777" w:rsidR="00786948" w:rsidRPr="00786948" w:rsidRDefault="00786948" w:rsidP="007869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D08E8" w14:textId="448A4A11" w:rsidR="00C629BF" w:rsidRPr="00786948" w:rsidRDefault="00786948" w:rsidP="00786948">
    <w:pPr>
      <w:pStyle w:val="Footer"/>
      <w:rPr>
        <w:rFonts w:ascii="Arial" w:hAnsi="Arial" w:cs="Arial"/>
        <w:b/>
        <w:sz w:val="48"/>
      </w:rPr>
    </w:pPr>
    <w:r w:rsidRPr="00786948">
      <w:rPr>
        <w:rFonts w:ascii="Arial" w:hAnsi="Arial" w:cs="Arial"/>
        <w:b/>
        <w:sz w:val="48"/>
      </w:rPr>
      <w:t>EN</w:t>
    </w:r>
    <w:r w:rsidRPr="00786948">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786948">
      <w:tab/>
    </w:r>
    <w:r w:rsidRPr="00786948">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C259" w14:textId="77777777" w:rsidR="00786948" w:rsidRPr="00786948" w:rsidRDefault="00786948" w:rsidP="0078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04641" w14:textId="77777777" w:rsidR="00166B2F" w:rsidRDefault="00166B2F" w:rsidP="00912B9A">
      <w:pPr>
        <w:spacing w:before="0" w:after="0"/>
      </w:pPr>
      <w:r>
        <w:separator/>
      </w:r>
    </w:p>
  </w:footnote>
  <w:footnote w:type="continuationSeparator" w:id="0">
    <w:p w14:paraId="14876949" w14:textId="77777777" w:rsidR="00166B2F" w:rsidRDefault="00166B2F" w:rsidP="00912B9A">
      <w:pPr>
        <w:spacing w:before="0" w:after="0"/>
      </w:pPr>
      <w:r>
        <w:continuationSeparator/>
      </w:r>
    </w:p>
  </w:footnote>
  <w:footnote w:id="1">
    <w:p w14:paraId="43F225FC" w14:textId="77777777" w:rsidR="00AC5B2D" w:rsidRPr="004D1BB5" w:rsidRDefault="00AC5B2D" w:rsidP="00AC5B2D">
      <w:pPr>
        <w:pStyle w:val="FootnoteText"/>
        <w:rPr>
          <w:lang w:val="pl-PL"/>
        </w:rPr>
      </w:pPr>
      <w:r w:rsidRPr="002A6955">
        <w:rPr>
          <w:rStyle w:val="FootnoteReference"/>
        </w:rPr>
        <w:footnoteRef/>
      </w:r>
      <w:r>
        <w:rPr>
          <w:lang w:val="pl-PL"/>
        </w:rPr>
        <w:tab/>
      </w:r>
      <w:r w:rsidRPr="004D1BB5">
        <w:rPr>
          <w:lang w:val="pl-PL"/>
        </w:rPr>
        <w:t>OJ L 326, 10.12.2010, p. 11.</w:t>
      </w:r>
    </w:p>
  </w:footnote>
  <w:footnote w:id="2">
    <w:p w14:paraId="3BA8101C" w14:textId="77777777" w:rsidR="00AC5B2D" w:rsidRPr="004D1BB5" w:rsidRDefault="00AC5B2D" w:rsidP="00AC5B2D">
      <w:pPr>
        <w:pStyle w:val="FootnoteText"/>
        <w:rPr>
          <w:lang w:val="pl-PL"/>
        </w:rPr>
      </w:pPr>
      <w:r w:rsidRPr="002A6955">
        <w:rPr>
          <w:rStyle w:val="FootnoteReference"/>
        </w:rPr>
        <w:footnoteRef/>
      </w:r>
      <w:r>
        <w:rPr>
          <w:lang w:val="pl-PL"/>
        </w:rPr>
        <w:tab/>
      </w:r>
      <w:r w:rsidRPr="004D1BB5">
        <w:rPr>
          <w:lang w:val="pl-PL"/>
        </w:rPr>
        <w:t>OJ L 327, 11.12.2010, p.13.</w:t>
      </w:r>
    </w:p>
  </w:footnote>
  <w:footnote w:id="3">
    <w:p w14:paraId="397EDAAA" w14:textId="77777777" w:rsidR="00AC5B2D" w:rsidRPr="00AC5B2D" w:rsidRDefault="00AC5B2D" w:rsidP="00AC5B2D">
      <w:pPr>
        <w:pStyle w:val="FootnoteText"/>
        <w:rPr>
          <w:lang w:val="pl-PL"/>
        </w:rPr>
      </w:pPr>
      <w:r w:rsidRPr="002A6955">
        <w:rPr>
          <w:rStyle w:val="FootnoteReference"/>
        </w:rPr>
        <w:footnoteRef/>
      </w:r>
      <w:r w:rsidRPr="00AC5B2D">
        <w:rPr>
          <w:lang w:val="pl-PL"/>
        </w:rPr>
        <w:tab/>
        <w:t>OJ L 320, 17.11.2012, p. 3.</w:t>
      </w:r>
    </w:p>
  </w:footnote>
  <w:footnote w:id="4">
    <w:p w14:paraId="52977317" w14:textId="77777777" w:rsidR="00912B9A" w:rsidRPr="00435389" w:rsidRDefault="00912B9A">
      <w:pPr>
        <w:pStyle w:val="FootnoteText"/>
      </w:pPr>
      <w:r w:rsidRPr="000A6526">
        <w:rPr>
          <w:rStyle w:val="FootnoteReference"/>
        </w:rPr>
        <w:footnoteRef/>
      </w:r>
      <w:r w:rsidRPr="00435389">
        <w:tab/>
        <w:t>OJ L 138, 26.05.2016, p. 102.</w:t>
      </w:r>
    </w:p>
  </w:footnote>
  <w:footnote w:id="5">
    <w:p w14:paraId="17271033" w14:textId="77777777" w:rsidR="008E516B" w:rsidRPr="00F26FEC" w:rsidRDefault="008E516B" w:rsidP="008E516B">
      <w:pPr>
        <w:pStyle w:val="FootnoteText"/>
      </w:pPr>
      <w:r w:rsidRPr="005E435C">
        <w:rPr>
          <w:rStyle w:val="FootnoteReference"/>
        </w:rPr>
        <w:footnoteRef/>
      </w:r>
      <w:r w:rsidR="005E435C">
        <w:tab/>
      </w:r>
      <w:r>
        <w:t>Commission Implementing Decision of 1 September 2016 on a mandate to the European Union Agency for Railways for the revision of the common safety methods for conformity assessment and the common safety method for supervision and repealing Implementing Decision C(2014) 1649 final (</w:t>
      </w:r>
      <w:r w:rsidRPr="005D2F65">
        <w:t>C(2016) 5504 final</w:t>
      </w:r>
      <w:r>
        <w:t>).</w:t>
      </w:r>
    </w:p>
  </w:footnote>
  <w:footnote w:id="6">
    <w:p w14:paraId="50A53C02" w14:textId="77777777" w:rsidR="00912B9A" w:rsidRPr="00435389" w:rsidRDefault="00912B9A" w:rsidP="00D0499B">
      <w:pPr>
        <w:pStyle w:val="FootnoteText"/>
      </w:pPr>
      <w:r w:rsidRPr="002A6955">
        <w:rPr>
          <w:rStyle w:val="FootnoteReference"/>
        </w:rPr>
        <w:footnoteRef/>
      </w:r>
      <w:r w:rsidR="002A6955" w:rsidRPr="00435389">
        <w:tab/>
      </w:r>
      <w:r w:rsidR="00010BC2" w:rsidRPr="00435389">
        <w:t xml:space="preserve">Commission Regulation (EU) No 1158/2010 of 9 December 2010 on a common safety method for assessing conformity with the requirements for obtaining railway safety certificates </w:t>
      </w:r>
      <w:r w:rsidR="00010BC2">
        <w:t>(</w:t>
      </w:r>
      <w:r w:rsidRPr="00435389">
        <w:t>OJ L 326, 10.12.2010, p. 11</w:t>
      </w:r>
      <w:r w:rsidR="00010BC2">
        <w:t>)</w:t>
      </w:r>
      <w:r w:rsidRPr="00435389">
        <w:t>.</w:t>
      </w:r>
    </w:p>
  </w:footnote>
  <w:footnote w:id="7">
    <w:p w14:paraId="6DFBFD81" w14:textId="77777777" w:rsidR="00912B9A" w:rsidRPr="00435389" w:rsidRDefault="00912B9A" w:rsidP="00D0499B">
      <w:pPr>
        <w:pStyle w:val="FootnoteText"/>
      </w:pPr>
      <w:r w:rsidRPr="002A6955">
        <w:rPr>
          <w:rStyle w:val="FootnoteReference"/>
        </w:rPr>
        <w:footnoteRef/>
      </w:r>
      <w:r w:rsidR="002A6955" w:rsidRPr="00435389">
        <w:tab/>
      </w:r>
      <w:r w:rsidR="00A51F88" w:rsidRPr="00435389">
        <w:t xml:space="preserve">Commission Regulation (EU) No 1169/2010 of 10 December 2010 on a common safety method for assessing conformity with the requirements for obtaining a railway safety authorisation </w:t>
      </w:r>
      <w:r w:rsidR="00A51F88">
        <w:t>(</w:t>
      </w:r>
      <w:r w:rsidRPr="00435389">
        <w:t>OJ L 327, 11.12.2010, p.13</w:t>
      </w:r>
      <w:r w:rsidR="00A51F88">
        <w:t>)</w:t>
      </w:r>
      <w:r w:rsidRPr="00435389">
        <w:t>.</w:t>
      </w:r>
    </w:p>
  </w:footnote>
  <w:footnote w:id="8">
    <w:p w14:paraId="77392377" w14:textId="77777777" w:rsidR="00912B9A" w:rsidRPr="00435389" w:rsidRDefault="00912B9A" w:rsidP="00D0499B">
      <w:pPr>
        <w:pStyle w:val="FootnoteText"/>
      </w:pPr>
      <w:r w:rsidRPr="002A6955">
        <w:rPr>
          <w:rStyle w:val="FootnoteReference"/>
        </w:rPr>
        <w:footnoteRef/>
      </w:r>
      <w:r w:rsidR="002A6955" w:rsidRPr="00435389">
        <w:tab/>
      </w:r>
      <w:r w:rsidR="00A51F88" w:rsidRPr="00435389">
        <w:t xml:space="preserve">Commission Regulation (EU) No 1077/2012 of 16 November 2012 on a common safety method for supervision by national safety authorities after issuing a safety certificate or safety authorisation </w:t>
      </w:r>
      <w:r w:rsidR="00A51F88">
        <w:t>(</w:t>
      </w:r>
      <w:r w:rsidRPr="00435389">
        <w:t>OJ L 320, 17.11.2012, p. 3</w:t>
      </w:r>
      <w:r w:rsidR="00A51F88">
        <w:t>)</w:t>
      </w:r>
      <w:r w:rsidRPr="00435389">
        <w:t>.</w:t>
      </w:r>
    </w:p>
  </w:footnote>
  <w:footnote w:id="9">
    <w:p w14:paraId="661271C2" w14:textId="77777777" w:rsidR="00912B9A" w:rsidRPr="004D1BB5" w:rsidRDefault="00912B9A">
      <w:pPr>
        <w:pStyle w:val="FootnoteText"/>
        <w:rPr>
          <w:lang w:val="fr-BE"/>
        </w:rPr>
      </w:pPr>
      <w:r w:rsidRPr="002A6955">
        <w:rPr>
          <w:rStyle w:val="FootnoteReference"/>
        </w:rPr>
        <w:footnoteRef/>
      </w:r>
      <w:r w:rsidR="002A6955">
        <w:rPr>
          <w:lang w:val="fr-BE"/>
        </w:rPr>
        <w:tab/>
      </w:r>
      <w:r w:rsidRPr="004D1BB5">
        <w:rPr>
          <w:lang w:val="fr-BE"/>
        </w:rPr>
        <w:t>ISO/IEC Directives, Part 1, consolidated supplement 2016, Annex SL Appendix 2.</w:t>
      </w:r>
    </w:p>
  </w:footnote>
  <w:footnote w:id="10">
    <w:p w14:paraId="6CA2FE1C" w14:textId="2DFDC9E0" w:rsidR="00912B9A" w:rsidRPr="00812214" w:rsidRDefault="00912B9A">
      <w:pPr>
        <w:pStyle w:val="FootnoteText"/>
      </w:pPr>
      <w:r w:rsidRPr="002A6955">
        <w:rPr>
          <w:rStyle w:val="FootnoteReference"/>
        </w:rPr>
        <w:footnoteRef/>
      </w:r>
      <w:r w:rsidR="002A6955" w:rsidRPr="00812214">
        <w:tab/>
      </w:r>
      <w:proofErr w:type="gramStart"/>
      <w:r w:rsidR="00F63BA7" w:rsidRPr="00812214">
        <w:t>Council Directive 89/391/</w:t>
      </w:r>
      <w:r w:rsidR="00D21896">
        <w:t>E</w:t>
      </w:r>
      <w:r w:rsidR="00F63BA7" w:rsidRPr="00812214">
        <w:t xml:space="preserve">EC of 12 June 1989 on the introduction of measures to encourage improvements in the safety and health of workers at work </w:t>
      </w:r>
      <w:r w:rsidR="00F63BA7">
        <w:t>(</w:t>
      </w:r>
      <w:r w:rsidRPr="00812214">
        <w:t xml:space="preserve">OJ L 183, </w:t>
      </w:r>
      <w:r w:rsidR="009F38E6">
        <w:t>29</w:t>
      </w:r>
      <w:r w:rsidRPr="00812214">
        <w:t>.6.1989, p.1</w:t>
      </w:r>
      <w:r w:rsidR="00F63BA7">
        <w:t>)</w:t>
      </w:r>
      <w:r w:rsidRPr="00812214">
        <w:t>.</w:t>
      </w:r>
      <w:proofErr w:type="gramEnd"/>
    </w:p>
  </w:footnote>
  <w:footnote w:id="11">
    <w:p w14:paraId="43FB61D2" w14:textId="7C365204" w:rsidR="00912B9A" w:rsidRPr="00812214" w:rsidRDefault="00912B9A">
      <w:pPr>
        <w:pStyle w:val="FootnoteText"/>
      </w:pPr>
      <w:r w:rsidRPr="002A6955">
        <w:rPr>
          <w:rStyle w:val="FootnoteReference"/>
        </w:rPr>
        <w:footnoteRef/>
      </w:r>
      <w:r w:rsidR="002A6955" w:rsidRPr="00812214">
        <w:tab/>
      </w:r>
      <w:proofErr w:type="gramStart"/>
      <w:r w:rsidR="00FA70D4" w:rsidRPr="00812214">
        <w:t xml:space="preserve">Directive 2008/68/EC </w:t>
      </w:r>
      <w:r w:rsidR="0089591D">
        <w:t xml:space="preserve">of the European Parliament and of the Council </w:t>
      </w:r>
      <w:r w:rsidR="00FA70D4" w:rsidRPr="00812214">
        <w:t xml:space="preserve">of 24 September 2008 on the inland transport of dangerous goods </w:t>
      </w:r>
      <w:r w:rsidR="00FA70D4">
        <w:t>(</w:t>
      </w:r>
      <w:r w:rsidRPr="00812214">
        <w:t>OJ L 260, 30.9.2008, p.13</w:t>
      </w:r>
      <w:r w:rsidR="00FA70D4">
        <w:t>)</w:t>
      </w:r>
      <w:r w:rsidRPr="00812214">
        <w:t>.</w:t>
      </w:r>
      <w:proofErr w:type="gramEnd"/>
    </w:p>
  </w:footnote>
  <w:footnote w:id="12">
    <w:p w14:paraId="1DE4937A" w14:textId="77777777" w:rsidR="006B1B37" w:rsidRPr="0023497A" w:rsidRDefault="006B1B37" w:rsidP="006B1B37">
      <w:pPr>
        <w:pStyle w:val="FootnoteText"/>
      </w:pPr>
      <w:r w:rsidRPr="005E435C">
        <w:rPr>
          <w:rStyle w:val="FootnoteReference"/>
        </w:rPr>
        <w:footnoteRef/>
      </w:r>
      <w:r w:rsidR="005E435C">
        <w:tab/>
      </w:r>
      <w:r w:rsidRPr="0023497A">
        <w:t>Directive 2004/49/EC of the European Parliament and of the Council of 29 April 2004 on safety on the Community's railways and amending Council Directive 95/18/EC on the licensing of railway undertakings and Directive 2001/14/EC on the allocation of railway infrastructure capacity and the levying of charges for the use of railway infrastructure and safety certification (Railway Safety Directive) (OJ L 164, 30.4.2004, p.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5D74" w14:textId="77777777" w:rsidR="00786948" w:rsidRPr="00786948" w:rsidRDefault="00786948" w:rsidP="00786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C3B04" w14:textId="77777777" w:rsidR="00786948" w:rsidRPr="00786948" w:rsidRDefault="00786948" w:rsidP="00786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B1FB1" w14:textId="77777777" w:rsidR="00786948" w:rsidRPr="00786948" w:rsidRDefault="00786948" w:rsidP="00786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2CADAD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ECD8A00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9298594A"/>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532415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1658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4672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C614F0"/>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A686DE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ITTEKATTE Mathieu (ERA)">
    <w15:presenceInfo w15:providerId="None" w15:userId="SCHITTEKATTE Mathieu (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3 14:13: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VERPAGE_EXISTS" w:val="True"/>
    <w:docVar w:name="LW_COVERPAGE_GUID" w:val="FD00D12D-DE86-4619-AA34-224CE63D6414"/>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FAITA" w:val="Done at"/>
    <w:docVar w:name="LW_ID_DOCMODEL" w:val="SJ-003"/>
    <w:docVar w:name="LW_ID_DOCSIGNATURE" w:val="SJ-003"/>
    <w:docVar w:name="LW_ID_DOCSTRUCTURE" w:val="COM/AA"/>
    <w:docVar w:name="LW_ID_DOCTYPE" w:val="SJ-003"/>
    <w:docVar w:name="LW_INST.SIGNE" w:val="&lt;UNUSED&gt;"/>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PERS.SIGNE"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lt;UNUSED&gt;"/>
    <w:docVar w:name="LW_SUPERTITRE" w:val="&lt;UNUSED&gt;"/>
    <w:docVar w:name="LW_TITRE.OBJ.CP" w:val="establishing common safety methods on safety management system requirements pursuant to Directive (EU) 2016/798 of the European Parliament and of the Council  and repealing Commission Regulations (EU) No 1158/2010 and (EU) No 1169/2010"/>
    <w:docVar w:name="LW_TYPE.DOC.CP" w:val="COMMISSION DELEGATED REGULATION (EU) \u8230?/..."/>
  </w:docVars>
  <w:rsids>
    <w:rsidRoot w:val="00912B9A"/>
    <w:rsid w:val="000007E7"/>
    <w:rsid w:val="00010BC2"/>
    <w:rsid w:val="00014413"/>
    <w:rsid w:val="00015968"/>
    <w:rsid w:val="0003286A"/>
    <w:rsid w:val="0004365A"/>
    <w:rsid w:val="00053067"/>
    <w:rsid w:val="00053D72"/>
    <w:rsid w:val="000558B6"/>
    <w:rsid w:val="00062CF2"/>
    <w:rsid w:val="00063861"/>
    <w:rsid w:val="00065CEB"/>
    <w:rsid w:val="00075864"/>
    <w:rsid w:val="00076F5F"/>
    <w:rsid w:val="0009391B"/>
    <w:rsid w:val="00093F97"/>
    <w:rsid w:val="00095725"/>
    <w:rsid w:val="00096543"/>
    <w:rsid w:val="000A6BA1"/>
    <w:rsid w:val="000B583F"/>
    <w:rsid w:val="000C744F"/>
    <w:rsid w:val="000D3B63"/>
    <w:rsid w:val="000D3B73"/>
    <w:rsid w:val="000D66D0"/>
    <w:rsid w:val="000D6EE0"/>
    <w:rsid w:val="00104ED3"/>
    <w:rsid w:val="00111C93"/>
    <w:rsid w:val="00112F6C"/>
    <w:rsid w:val="00123CEE"/>
    <w:rsid w:val="001270D3"/>
    <w:rsid w:val="00134EBC"/>
    <w:rsid w:val="00135984"/>
    <w:rsid w:val="0014795D"/>
    <w:rsid w:val="001501CC"/>
    <w:rsid w:val="00153A64"/>
    <w:rsid w:val="00166B2F"/>
    <w:rsid w:val="00171635"/>
    <w:rsid w:val="00172006"/>
    <w:rsid w:val="00176F4A"/>
    <w:rsid w:val="00185532"/>
    <w:rsid w:val="001941D6"/>
    <w:rsid w:val="001A1F3E"/>
    <w:rsid w:val="001A2057"/>
    <w:rsid w:val="001A4593"/>
    <w:rsid w:val="001A4ABA"/>
    <w:rsid w:val="001B3AE3"/>
    <w:rsid w:val="001B5079"/>
    <w:rsid w:val="001B5562"/>
    <w:rsid w:val="001B5F51"/>
    <w:rsid w:val="001C5531"/>
    <w:rsid w:val="001C5A8C"/>
    <w:rsid w:val="001C7EC7"/>
    <w:rsid w:val="001D5B34"/>
    <w:rsid w:val="001E57FF"/>
    <w:rsid w:val="00200CC2"/>
    <w:rsid w:val="00200E08"/>
    <w:rsid w:val="002106C1"/>
    <w:rsid w:val="00216EA8"/>
    <w:rsid w:val="00226BD4"/>
    <w:rsid w:val="00230BE6"/>
    <w:rsid w:val="00233149"/>
    <w:rsid w:val="0023497A"/>
    <w:rsid w:val="002538FC"/>
    <w:rsid w:val="00254896"/>
    <w:rsid w:val="00261C33"/>
    <w:rsid w:val="00263019"/>
    <w:rsid w:val="002701B2"/>
    <w:rsid w:val="002857A0"/>
    <w:rsid w:val="002878EC"/>
    <w:rsid w:val="0029685A"/>
    <w:rsid w:val="002A064A"/>
    <w:rsid w:val="002A0F3A"/>
    <w:rsid w:val="002A1308"/>
    <w:rsid w:val="002A6955"/>
    <w:rsid w:val="002A7DA1"/>
    <w:rsid w:val="002B0802"/>
    <w:rsid w:val="002B1CC2"/>
    <w:rsid w:val="002C6752"/>
    <w:rsid w:val="002E3FA5"/>
    <w:rsid w:val="002E6300"/>
    <w:rsid w:val="002F5709"/>
    <w:rsid w:val="002F6858"/>
    <w:rsid w:val="00303CD5"/>
    <w:rsid w:val="0032084B"/>
    <w:rsid w:val="0033278D"/>
    <w:rsid w:val="00337ED9"/>
    <w:rsid w:val="0034445E"/>
    <w:rsid w:val="00357550"/>
    <w:rsid w:val="003608E0"/>
    <w:rsid w:val="003615BB"/>
    <w:rsid w:val="003653BB"/>
    <w:rsid w:val="00365D72"/>
    <w:rsid w:val="00372105"/>
    <w:rsid w:val="003751B5"/>
    <w:rsid w:val="003931A1"/>
    <w:rsid w:val="003967F5"/>
    <w:rsid w:val="003A5E09"/>
    <w:rsid w:val="003B14D4"/>
    <w:rsid w:val="003B1C0B"/>
    <w:rsid w:val="003C09FC"/>
    <w:rsid w:val="003C1F15"/>
    <w:rsid w:val="003C33DE"/>
    <w:rsid w:val="003C7573"/>
    <w:rsid w:val="003E02FC"/>
    <w:rsid w:val="003E467D"/>
    <w:rsid w:val="003E52EA"/>
    <w:rsid w:val="003F08E3"/>
    <w:rsid w:val="003F469D"/>
    <w:rsid w:val="004000C7"/>
    <w:rsid w:val="00401EE3"/>
    <w:rsid w:val="00405985"/>
    <w:rsid w:val="00413B16"/>
    <w:rsid w:val="0041469B"/>
    <w:rsid w:val="00424BF6"/>
    <w:rsid w:val="00425401"/>
    <w:rsid w:val="004331C7"/>
    <w:rsid w:val="00435389"/>
    <w:rsid w:val="00442D78"/>
    <w:rsid w:val="00444DF1"/>
    <w:rsid w:val="00460C9F"/>
    <w:rsid w:val="004617E2"/>
    <w:rsid w:val="00463374"/>
    <w:rsid w:val="0047098C"/>
    <w:rsid w:val="0048409F"/>
    <w:rsid w:val="00490F5E"/>
    <w:rsid w:val="00492985"/>
    <w:rsid w:val="0049409F"/>
    <w:rsid w:val="004975AC"/>
    <w:rsid w:val="004977DD"/>
    <w:rsid w:val="004A058A"/>
    <w:rsid w:val="004A61D6"/>
    <w:rsid w:val="004B1895"/>
    <w:rsid w:val="004B2C4E"/>
    <w:rsid w:val="004B4203"/>
    <w:rsid w:val="004C3423"/>
    <w:rsid w:val="004C6918"/>
    <w:rsid w:val="004D2C99"/>
    <w:rsid w:val="004D6375"/>
    <w:rsid w:val="004D71D5"/>
    <w:rsid w:val="004E0759"/>
    <w:rsid w:val="004E75D8"/>
    <w:rsid w:val="00504950"/>
    <w:rsid w:val="00505407"/>
    <w:rsid w:val="00510C68"/>
    <w:rsid w:val="0051194F"/>
    <w:rsid w:val="0051197C"/>
    <w:rsid w:val="0052224A"/>
    <w:rsid w:val="0052283D"/>
    <w:rsid w:val="0052444B"/>
    <w:rsid w:val="0053397B"/>
    <w:rsid w:val="005403CA"/>
    <w:rsid w:val="00544ADF"/>
    <w:rsid w:val="00545AB2"/>
    <w:rsid w:val="005503CC"/>
    <w:rsid w:val="005529AB"/>
    <w:rsid w:val="00554804"/>
    <w:rsid w:val="00564FEF"/>
    <w:rsid w:val="00566505"/>
    <w:rsid w:val="005671D9"/>
    <w:rsid w:val="00571083"/>
    <w:rsid w:val="0057289E"/>
    <w:rsid w:val="00574613"/>
    <w:rsid w:val="00574911"/>
    <w:rsid w:val="00575994"/>
    <w:rsid w:val="005779EB"/>
    <w:rsid w:val="00577B52"/>
    <w:rsid w:val="00577BC5"/>
    <w:rsid w:val="00581D1C"/>
    <w:rsid w:val="00584CA4"/>
    <w:rsid w:val="0058655E"/>
    <w:rsid w:val="005925C9"/>
    <w:rsid w:val="00593601"/>
    <w:rsid w:val="005A19B7"/>
    <w:rsid w:val="005A698A"/>
    <w:rsid w:val="005A6D56"/>
    <w:rsid w:val="005B2B43"/>
    <w:rsid w:val="005B2F0D"/>
    <w:rsid w:val="005C29AB"/>
    <w:rsid w:val="005D079A"/>
    <w:rsid w:val="005E075D"/>
    <w:rsid w:val="005E435C"/>
    <w:rsid w:val="005F79C3"/>
    <w:rsid w:val="00602AE9"/>
    <w:rsid w:val="00627148"/>
    <w:rsid w:val="00632950"/>
    <w:rsid w:val="00634944"/>
    <w:rsid w:val="00645B8C"/>
    <w:rsid w:val="00665B81"/>
    <w:rsid w:val="00673264"/>
    <w:rsid w:val="0068122D"/>
    <w:rsid w:val="006832C3"/>
    <w:rsid w:val="00687EDE"/>
    <w:rsid w:val="00696546"/>
    <w:rsid w:val="006A330D"/>
    <w:rsid w:val="006A521D"/>
    <w:rsid w:val="006A6814"/>
    <w:rsid w:val="006B1B37"/>
    <w:rsid w:val="006B3A76"/>
    <w:rsid w:val="006B4A33"/>
    <w:rsid w:val="006C27F2"/>
    <w:rsid w:val="006C2D2D"/>
    <w:rsid w:val="006C2E23"/>
    <w:rsid w:val="006C344A"/>
    <w:rsid w:val="006E0950"/>
    <w:rsid w:val="006E1BD7"/>
    <w:rsid w:val="006E762B"/>
    <w:rsid w:val="006F2897"/>
    <w:rsid w:val="007036D3"/>
    <w:rsid w:val="00715D61"/>
    <w:rsid w:val="007178C6"/>
    <w:rsid w:val="007209EF"/>
    <w:rsid w:val="00733486"/>
    <w:rsid w:val="0073394B"/>
    <w:rsid w:val="007450D2"/>
    <w:rsid w:val="007458E1"/>
    <w:rsid w:val="0075023E"/>
    <w:rsid w:val="0075043C"/>
    <w:rsid w:val="00751070"/>
    <w:rsid w:val="00751C0C"/>
    <w:rsid w:val="007545E8"/>
    <w:rsid w:val="007617EC"/>
    <w:rsid w:val="00771668"/>
    <w:rsid w:val="007770F9"/>
    <w:rsid w:val="00786948"/>
    <w:rsid w:val="007878D5"/>
    <w:rsid w:val="007A4F45"/>
    <w:rsid w:val="007D53B6"/>
    <w:rsid w:val="007D7437"/>
    <w:rsid w:val="007E2FD7"/>
    <w:rsid w:val="007F7FA9"/>
    <w:rsid w:val="00805C3F"/>
    <w:rsid w:val="00806C3E"/>
    <w:rsid w:val="00812214"/>
    <w:rsid w:val="00820527"/>
    <w:rsid w:val="0082554B"/>
    <w:rsid w:val="00826C6A"/>
    <w:rsid w:val="008306C2"/>
    <w:rsid w:val="008369C7"/>
    <w:rsid w:val="00840929"/>
    <w:rsid w:val="008438ED"/>
    <w:rsid w:val="008455A1"/>
    <w:rsid w:val="00845BEC"/>
    <w:rsid w:val="00847618"/>
    <w:rsid w:val="008543D7"/>
    <w:rsid w:val="008858B5"/>
    <w:rsid w:val="008862A7"/>
    <w:rsid w:val="00886C99"/>
    <w:rsid w:val="00886CFA"/>
    <w:rsid w:val="008904E6"/>
    <w:rsid w:val="008956B4"/>
    <w:rsid w:val="0089591D"/>
    <w:rsid w:val="008A0470"/>
    <w:rsid w:val="008A2F5C"/>
    <w:rsid w:val="008A54C1"/>
    <w:rsid w:val="008A60A7"/>
    <w:rsid w:val="008B562A"/>
    <w:rsid w:val="008B6893"/>
    <w:rsid w:val="008C1B8A"/>
    <w:rsid w:val="008C2C1C"/>
    <w:rsid w:val="008C33F2"/>
    <w:rsid w:val="008D0945"/>
    <w:rsid w:val="008D2317"/>
    <w:rsid w:val="008D3A48"/>
    <w:rsid w:val="008D60C0"/>
    <w:rsid w:val="008E1C96"/>
    <w:rsid w:val="008E2923"/>
    <w:rsid w:val="008E516B"/>
    <w:rsid w:val="008F3846"/>
    <w:rsid w:val="008F3BBA"/>
    <w:rsid w:val="008F614C"/>
    <w:rsid w:val="008F7D77"/>
    <w:rsid w:val="0090273A"/>
    <w:rsid w:val="00904AEA"/>
    <w:rsid w:val="009124A4"/>
    <w:rsid w:val="00912B9A"/>
    <w:rsid w:val="00914820"/>
    <w:rsid w:val="00916DB7"/>
    <w:rsid w:val="00917EF7"/>
    <w:rsid w:val="009214F5"/>
    <w:rsid w:val="00923858"/>
    <w:rsid w:val="00923A2D"/>
    <w:rsid w:val="0092401E"/>
    <w:rsid w:val="009269A8"/>
    <w:rsid w:val="009269F9"/>
    <w:rsid w:val="00930F78"/>
    <w:rsid w:val="00934319"/>
    <w:rsid w:val="009369DA"/>
    <w:rsid w:val="00943124"/>
    <w:rsid w:val="00953005"/>
    <w:rsid w:val="0095474D"/>
    <w:rsid w:val="00961327"/>
    <w:rsid w:val="00980BFD"/>
    <w:rsid w:val="00982529"/>
    <w:rsid w:val="00995310"/>
    <w:rsid w:val="00995C3D"/>
    <w:rsid w:val="009A10D8"/>
    <w:rsid w:val="009A1EEF"/>
    <w:rsid w:val="009A4E69"/>
    <w:rsid w:val="009A5C04"/>
    <w:rsid w:val="009A7811"/>
    <w:rsid w:val="009B0A8E"/>
    <w:rsid w:val="009B3C97"/>
    <w:rsid w:val="009D179C"/>
    <w:rsid w:val="009D480F"/>
    <w:rsid w:val="009D6A04"/>
    <w:rsid w:val="009D7484"/>
    <w:rsid w:val="009E3AD9"/>
    <w:rsid w:val="009F38E6"/>
    <w:rsid w:val="009F7134"/>
    <w:rsid w:val="00A0307C"/>
    <w:rsid w:val="00A1027C"/>
    <w:rsid w:val="00A12CD5"/>
    <w:rsid w:val="00A2150F"/>
    <w:rsid w:val="00A240E2"/>
    <w:rsid w:val="00A40724"/>
    <w:rsid w:val="00A4348E"/>
    <w:rsid w:val="00A44784"/>
    <w:rsid w:val="00A50560"/>
    <w:rsid w:val="00A51F88"/>
    <w:rsid w:val="00A5683D"/>
    <w:rsid w:val="00A57630"/>
    <w:rsid w:val="00A60E1E"/>
    <w:rsid w:val="00A63C00"/>
    <w:rsid w:val="00A84153"/>
    <w:rsid w:val="00A9464C"/>
    <w:rsid w:val="00AB024B"/>
    <w:rsid w:val="00AB03B5"/>
    <w:rsid w:val="00AC09AF"/>
    <w:rsid w:val="00AC1125"/>
    <w:rsid w:val="00AC244E"/>
    <w:rsid w:val="00AC5B2D"/>
    <w:rsid w:val="00AE3039"/>
    <w:rsid w:val="00AE742F"/>
    <w:rsid w:val="00AE7DF3"/>
    <w:rsid w:val="00AF48B5"/>
    <w:rsid w:val="00B0025D"/>
    <w:rsid w:val="00B03C94"/>
    <w:rsid w:val="00B04DCA"/>
    <w:rsid w:val="00B1490D"/>
    <w:rsid w:val="00B26632"/>
    <w:rsid w:val="00B27725"/>
    <w:rsid w:val="00B3037D"/>
    <w:rsid w:val="00B32873"/>
    <w:rsid w:val="00B35D67"/>
    <w:rsid w:val="00B4352F"/>
    <w:rsid w:val="00B43634"/>
    <w:rsid w:val="00B44CFD"/>
    <w:rsid w:val="00B474D0"/>
    <w:rsid w:val="00B50A51"/>
    <w:rsid w:val="00B61465"/>
    <w:rsid w:val="00B63C92"/>
    <w:rsid w:val="00B64196"/>
    <w:rsid w:val="00B7394A"/>
    <w:rsid w:val="00B84439"/>
    <w:rsid w:val="00B93DF6"/>
    <w:rsid w:val="00BB2105"/>
    <w:rsid w:val="00BB60A5"/>
    <w:rsid w:val="00BB7DF8"/>
    <w:rsid w:val="00BC0BD6"/>
    <w:rsid w:val="00BC0BE7"/>
    <w:rsid w:val="00BC61B2"/>
    <w:rsid w:val="00BD0EC1"/>
    <w:rsid w:val="00BE5439"/>
    <w:rsid w:val="00BE7F0D"/>
    <w:rsid w:val="00BF3227"/>
    <w:rsid w:val="00BF519C"/>
    <w:rsid w:val="00C120E1"/>
    <w:rsid w:val="00C125C7"/>
    <w:rsid w:val="00C16174"/>
    <w:rsid w:val="00C1736B"/>
    <w:rsid w:val="00C32DD5"/>
    <w:rsid w:val="00C36AE4"/>
    <w:rsid w:val="00C42C77"/>
    <w:rsid w:val="00C52CF8"/>
    <w:rsid w:val="00C54741"/>
    <w:rsid w:val="00C5636E"/>
    <w:rsid w:val="00C5782D"/>
    <w:rsid w:val="00C629BF"/>
    <w:rsid w:val="00C63405"/>
    <w:rsid w:val="00C7115B"/>
    <w:rsid w:val="00C809B6"/>
    <w:rsid w:val="00C82363"/>
    <w:rsid w:val="00C82DFA"/>
    <w:rsid w:val="00C83FAA"/>
    <w:rsid w:val="00C95220"/>
    <w:rsid w:val="00CA0BD8"/>
    <w:rsid w:val="00CA1086"/>
    <w:rsid w:val="00CA2CCD"/>
    <w:rsid w:val="00CC1B9A"/>
    <w:rsid w:val="00CC3E9B"/>
    <w:rsid w:val="00CC4B33"/>
    <w:rsid w:val="00CD1B48"/>
    <w:rsid w:val="00CD3011"/>
    <w:rsid w:val="00CD3492"/>
    <w:rsid w:val="00CD38E2"/>
    <w:rsid w:val="00CE2F30"/>
    <w:rsid w:val="00CE3CDB"/>
    <w:rsid w:val="00D02796"/>
    <w:rsid w:val="00D047BB"/>
    <w:rsid w:val="00D047FA"/>
    <w:rsid w:val="00D10BC6"/>
    <w:rsid w:val="00D21896"/>
    <w:rsid w:val="00D2339A"/>
    <w:rsid w:val="00D251F6"/>
    <w:rsid w:val="00D31381"/>
    <w:rsid w:val="00D50C32"/>
    <w:rsid w:val="00D6506A"/>
    <w:rsid w:val="00D74A90"/>
    <w:rsid w:val="00D80E3D"/>
    <w:rsid w:val="00D921F7"/>
    <w:rsid w:val="00D9739B"/>
    <w:rsid w:val="00DA0785"/>
    <w:rsid w:val="00DA19DE"/>
    <w:rsid w:val="00DA62B8"/>
    <w:rsid w:val="00DB390A"/>
    <w:rsid w:val="00DB3B18"/>
    <w:rsid w:val="00DC17D9"/>
    <w:rsid w:val="00DC2257"/>
    <w:rsid w:val="00DC5D5F"/>
    <w:rsid w:val="00DD453B"/>
    <w:rsid w:val="00DD62E8"/>
    <w:rsid w:val="00DD71A3"/>
    <w:rsid w:val="00DE050D"/>
    <w:rsid w:val="00DE40C6"/>
    <w:rsid w:val="00DF06EF"/>
    <w:rsid w:val="00DF0F83"/>
    <w:rsid w:val="00DF23A9"/>
    <w:rsid w:val="00DF3B30"/>
    <w:rsid w:val="00DF3E23"/>
    <w:rsid w:val="00E00CDC"/>
    <w:rsid w:val="00E10EEE"/>
    <w:rsid w:val="00E22EB6"/>
    <w:rsid w:val="00E3068A"/>
    <w:rsid w:val="00E3505D"/>
    <w:rsid w:val="00E40C08"/>
    <w:rsid w:val="00E4182A"/>
    <w:rsid w:val="00E52033"/>
    <w:rsid w:val="00E75903"/>
    <w:rsid w:val="00E77DBC"/>
    <w:rsid w:val="00E85345"/>
    <w:rsid w:val="00E9114F"/>
    <w:rsid w:val="00EA55DE"/>
    <w:rsid w:val="00EC07BF"/>
    <w:rsid w:val="00EC13ED"/>
    <w:rsid w:val="00EC324B"/>
    <w:rsid w:val="00EC3F61"/>
    <w:rsid w:val="00EC4059"/>
    <w:rsid w:val="00EC53C0"/>
    <w:rsid w:val="00ED2303"/>
    <w:rsid w:val="00EE4169"/>
    <w:rsid w:val="00EE5703"/>
    <w:rsid w:val="00EE6AC4"/>
    <w:rsid w:val="00EF05B1"/>
    <w:rsid w:val="00EF0EE1"/>
    <w:rsid w:val="00F035C1"/>
    <w:rsid w:val="00F167BA"/>
    <w:rsid w:val="00F2473C"/>
    <w:rsid w:val="00F30B3D"/>
    <w:rsid w:val="00F4033F"/>
    <w:rsid w:val="00F41E8D"/>
    <w:rsid w:val="00F45466"/>
    <w:rsid w:val="00F46864"/>
    <w:rsid w:val="00F46EF9"/>
    <w:rsid w:val="00F53029"/>
    <w:rsid w:val="00F545BB"/>
    <w:rsid w:val="00F62315"/>
    <w:rsid w:val="00F63BA7"/>
    <w:rsid w:val="00F64588"/>
    <w:rsid w:val="00F77203"/>
    <w:rsid w:val="00F84709"/>
    <w:rsid w:val="00F870C0"/>
    <w:rsid w:val="00F87183"/>
    <w:rsid w:val="00F9278A"/>
    <w:rsid w:val="00FA0887"/>
    <w:rsid w:val="00FA1791"/>
    <w:rsid w:val="00FA3AD5"/>
    <w:rsid w:val="00FA70D4"/>
    <w:rsid w:val="00FB126C"/>
    <w:rsid w:val="00FC3D23"/>
    <w:rsid w:val="00FD16B4"/>
    <w:rsid w:val="00FD3BF9"/>
    <w:rsid w:val="00FE27C0"/>
    <w:rsid w:val="00FE2A53"/>
    <w:rsid w:val="00FE311C"/>
    <w:rsid w:val="00FE4B60"/>
    <w:rsid w:val="00FF5967"/>
    <w:rsid w:val="00FF6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rsid w:val="00912B9A"/>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rsid w:val="00912B9A"/>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rsid w:val="00912B9A"/>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rsid w:val="00912B9A"/>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rsid w:val="00912B9A"/>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912B9A"/>
    <w:rPr>
      <w:rFonts w:ascii="Arial" w:eastAsiaTheme="minorEastAsia" w:hAnsi="Arial" w:cs="Arial"/>
      <w:lang w:val="en-GB"/>
    </w:rPr>
  </w:style>
  <w:style w:type="character" w:customStyle="1" w:styleId="Heading6Char">
    <w:name w:val="Heading 6 Char"/>
    <w:basedOn w:val="DefaultParagraphFont"/>
    <w:link w:val="Heading6"/>
    <w:uiPriority w:val="99"/>
    <w:rsid w:val="00912B9A"/>
    <w:rPr>
      <w:rFonts w:ascii="Arial" w:eastAsiaTheme="minorEastAsia" w:hAnsi="Arial" w:cs="Arial"/>
      <w:i/>
      <w:iCs/>
      <w:lang w:val="en-GB"/>
    </w:rPr>
  </w:style>
  <w:style w:type="character" w:customStyle="1" w:styleId="Heading7Char">
    <w:name w:val="Heading 7 Char"/>
    <w:basedOn w:val="DefaultParagraphFont"/>
    <w:link w:val="Heading7"/>
    <w:uiPriority w:val="99"/>
    <w:rsid w:val="00912B9A"/>
    <w:rPr>
      <w:rFonts w:ascii="Arial" w:eastAsiaTheme="minorEastAsia" w:hAnsi="Arial" w:cs="Arial"/>
      <w:sz w:val="20"/>
      <w:szCs w:val="20"/>
      <w:lang w:val="en-GB"/>
    </w:rPr>
  </w:style>
  <w:style w:type="character" w:customStyle="1" w:styleId="Heading8Char">
    <w:name w:val="Heading 8 Char"/>
    <w:basedOn w:val="DefaultParagraphFont"/>
    <w:link w:val="Heading8"/>
    <w:uiPriority w:val="99"/>
    <w:rsid w:val="00912B9A"/>
    <w:rPr>
      <w:rFonts w:ascii="Arial" w:eastAsiaTheme="minorEastAsia" w:hAnsi="Arial" w:cs="Arial"/>
      <w:i/>
      <w:iCs/>
      <w:sz w:val="20"/>
      <w:szCs w:val="20"/>
      <w:lang w:val="en-GB"/>
    </w:rPr>
  </w:style>
  <w:style w:type="character" w:customStyle="1" w:styleId="Heading9Char">
    <w:name w:val="Heading 9 Char"/>
    <w:basedOn w:val="DefaultParagraphFont"/>
    <w:link w:val="Heading9"/>
    <w:uiPriority w:val="99"/>
    <w:rsid w:val="00912B9A"/>
    <w:rPr>
      <w:rFonts w:ascii="Arial" w:eastAsiaTheme="minorEastAsia" w:hAnsi="Arial" w:cs="Arial"/>
      <w:i/>
      <w:iCs/>
      <w:sz w:val="18"/>
      <w:szCs w:val="18"/>
      <w:lang w:val="en-GB"/>
    </w:rPr>
  </w:style>
  <w:style w:type="paragraph" w:styleId="Caption">
    <w:name w:val="caption"/>
    <w:basedOn w:val="Normal"/>
    <w:next w:val="Normal"/>
    <w:uiPriority w:val="99"/>
    <w:qFormat/>
    <w:rsid w:val="00912B9A"/>
    <w:pPr>
      <w:autoSpaceDE w:val="0"/>
      <w:autoSpaceDN w:val="0"/>
    </w:pPr>
    <w:rPr>
      <w:rFonts w:eastAsiaTheme="minorEastAsia"/>
      <w:b/>
      <w:bCs/>
      <w:szCs w:val="24"/>
    </w:rPr>
  </w:style>
  <w:style w:type="character" w:styleId="CommentReference">
    <w:name w:val="annotation reference"/>
    <w:basedOn w:val="DefaultParagraphFont"/>
    <w:uiPriority w:val="99"/>
    <w:rsid w:val="00912B9A"/>
    <w:rPr>
      <w:rFonts w:cs="Times New Roman"/>
      <w:sz w:val="16"/>
      <w:szCs w:val="16"/>
    </w:rPr>
  </w:style>
  <w:style w:type="paragraph" w:styleId="CommentText">
    <w:name w:val="annotation text"/>
    <w:basedOn w:val="Normal"/>
    <w:link w:val="CommentTextChar"/>
    <w:uiPriority w:val="99"/>
    <w:rsid w:val="00912B9A"/>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sid w:val="00912B9A"/>
    <w:rPr>
      <w:rFonts w:ascii="Times New Roman" w:eastAsiaTheme="minorEastAsia" w:hAnsi="Times New Roman" w:cs="Times New Roman"/>
      <w:sz w:val="20"/>
      <w:szCs w:val="20"/>
      <w:lang w:val="en-GB"/>
    </w:rPr>
  </w:style>
  <w:style w:type="paragraph" w:customStyle="1" w:styleId="FichedimpactPMEtitre">
    <w:name w:val="Fiche d'impact PME titre"/>
    <w:basedOn w:val="Normal"/>
    <w:next w:val="Normal"/>
    <w:uiPriority w:val="99"/>
    <w:rsid w:val="00912B9A"/>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rsid w:val="00912B9A"/>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rsid w:val="00912B9A"/>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rsid w:val="00912B9A"/>
    <w:pPr>
      <w:autoSpaceDE w:val="0"/>
      <w:autoSpaceDN w:val="0"/>
      <w:jc w:val="center"/>
    </w:pPr>
    <w:rPr>
      <w:rFonts w:eastAsiaTheme="minorEastAsia"/>
      <w:b/>
      <w:bCs/>
      <w:sz w:val="40"/>
      <w:szCs w:val="40"/>
    </w:rPr>
  </w:style>
  <w:style w:type="character" w:styleId="PageNumber">
    <w:name w:val="page number"/>
    <w:basedOn w:val="DefaultParagraphFont"/>
    <w:uiPriority w:val="99"/>
    <w:rsid w:val="00912B9A"/>
    <w:rPr>
      <w:rFonts w:cs="Times New Roman"/>
    </w:rPr>
  </w:style>
  <w:style w:type="paragraph" w:styleId="TOAHeading">
    <w:name w:val="toa heading"/>
    <w:basedOn w:val="Normal"/>
    <w:next w:val="Normal"/>
    <w:uiPriority w:val="99"/>
    <w:rsid w:val="00912B9A"/>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rsid w:val="00912B9A"/>
    <w:pPr>
      <w:autoSpaceDE w:val="0"/>
      <w:autoSpaceDN w:val="0"/>
      <w:spacing w:before="240" w:after="60"/>
      <w:jc w:val="left"/>
    </w:pPr>
    <w:rPr>
      <w:rFonts w:eastAsiaTheme="minorEastAsia"/>
      <w:b/>
      <w:bCs/>
      <w:szCs w:val="24"/>
      <w:lang w:val="en-US"/>
    </w:rPr>
  </w:style>
  <w:style w:type="paragraph" w:customStyle="1" w:styleId="Referencedumodificateur">
    <w:name w:val="Reference du modificateur"/>
    <w:basedOn w:val="Normal"/>
    <w:next w:val="Normal"/>
    <w:uiPriority w:val="99"/>
    <w:rsid w:val="00912B9A"/>
    <w:pPr>
      <w:autoSpaceDE w:val="0"/>
      <w:autoSpaceDN w:val="0"/>
      <w:spacing w:before="0"/>
      <w:jc w:val="left"/>
    </w:pPr>
    <w:rPr>
      <w:rFonts w:eastAsiaTheme="minorEastAsia"/>
      <w:szCs w:val="24"/>
      <w:lang w:val="en-US"/>
    </w:rPr>
  </w:style>
  <w:style w:type="paragraph" w:styleId="BalloonText">
    <w:name w:val="Balloon Text"/>
    <w:basedOn w:val="Normal"/>
    <w:link w:val="BalloonTextChar"/>
    <w:uiPriority w:val="99"/>
    <w:semiHidden/>
    <w:unhideWhenUsed/>
    <w:rsid w:val="00912B9A"/>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12B9A"/>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12B9A"/>
    <w:rPr>
      <w:b/>
      <w:bCs/>
    </w:rPr>
  </w:style>
  <w:style w:type="character" w:customStyle="1" w:styleId="CommentSubjectChar">
    <w:name w:val="Comment Subject Char"/>
    <w:basedOn w:val="CommentTextChar"/>
    <w:link w:val="CommentSubject"/>
    <w:uiPriority w:val="99"/>
    <w:semiHidden/>
    <w:rsid w:val="00912B9A"/>
    <w:rPr>
      <w:rFonts w:ascii="Times New Roman" w:eastAsiaTheme="minorEastAsia" w:hAnsi="Times New Roman" w:cs="Times New Roman"/>
      <w:b/>
      <w:bCs/>
      <w:sz w:val="20"/>
      <w:szCs w:val="20"/>
      <w:lang w:val="en-GB"/>
    </w:rPr>
  </w:style>
  <w:style w:type="paragraph" w:styleId="Revision">
    <w:name w:val="Revision"/>
    <w:hidden/>
    <w:uiPriority w:val="99"/>
    <w:semiHidden/>
    <w:rsid w:val="00912B9A"/>
    <w:pPr>
      <w:spacing w:after="0" w:line="240" w:lineRule="auto"/>
    </w:pPr>
    <w:rPr>
      <w:rFonts w:ascii="Times New Roman" w:eastAsiaTheme="minorEastAsia" w:hAnsi="Times New Roman" w:cs="Times New Roman"/>
      <w:sz w:val="24"/>
      <w:szCs w:val="24"/>
      <w:lang w:val="en-GB"/>
    </w:rPr>
  </w:style>
  <w:style w:type="paragraph" w:styleId="ListParagraph">
    <w:name w:val="List Paragraph"/>
    <w:basedOn w:val="Normal"/>
    <w:link w:val="ListParagraphChar"/>
    <w:uiPriority w:val="34"/>
    <w:qFormat/>
    <w:rsid w:val="00912B9A"/>
    <w:pPr>
      <w:spacing w:before="0" w:after="160" w:line="259" w:lineRule="auto"/>
      <w:ind w:left="720"/>
      <w:contextualSpacing/>
      <w:jc w:val="left"/>
    </w:pPr>
    <w:rPr>
      <w:rFonts w:ascii="Calibri" w:eastAsiaTheme="minorEastAsia" w:hAnsi="Calibri"/>
      <w:sz w:val="22"/>
    </w:rPr>
  </w:style>
  <w:style w:type="paragraph" w:customStyle="1" w:styleId="Default">
    <w:name w:val="Default"/>
    <w:basedOn w:val="Normal"/>
    <w:rsid w:val="00912B9A"/>
    <w:pPr>
      <w:autoSpaceDE w:val="0"/>
      <w:autoSpaceDN w:val="0"/>
      <w:adjustRightInd w:val="0"/>
      <w:spacing w:before="0" w:after="0"/>
    </w:pPr>
    <w:rPr>
      <w:rFonts w:ascii="Calibri" w:eastAsiaTheme="minorEastAsia" w:hAnsi="Calibri"/>
      <w:color w:val="000000"/>
      <w:sz w:val="20"/>
      <w:szCs w:val="24"/>
      <w:lang w:eastAsia="en-GB"/>
    </w:rPr>
  </w:style>
  <w:style w:type="paragraph" w:customStyle="1" w:styleId="CM4">
    <w:name w:val="CM4"/>
    <w:basedOn w:val="Default"/>
    <w:next w:val="Default"/>
    <w:uiPriority w:val="99"/>
    <w:rsid w:val="00912B9A"/>
  </w:style>
  <w:style w:type="character" w:customStyle="1" w:styleId="ListParagraphChar">
    <w:name w:val="List Paragraph Char"/>
    <w:link w:val="ListParagraph"/>
    <w:uiPriority w:val="34"/>
    <w:locked/>
    <w:rsid w:val="00912B9A"/>
    <w:rPr>
      <w:rFonts w:ascii="Calibri" w:eastAsiaTheme="minorEastAsia" w:hAnsi="Calibri" w:cs="Times New Roman"/>
      <w:lang w:val="en-GB"/>
    </w:rPr>
  </w:style>
  <w:style w:type="paragraph" w:styleId="EndnoteText">
    <w:name w:val="endnote text"/>
    <w:basedOn w:val="Normal"/>
    <w:link w:val="EndnoteTextChar"/>
    <w:uiPriority w:val="99"/>
    <w:semiHidden/>
    <w:unhideWhenUsed/>
    <w:rsid w:val="00912B9A"/>
    <w:pPr>
      <w:autoSpaceDE w:val="0"/>
      <w:autoSpaceDN w:val="0"/>
    </w:pPr>
    <w:rPr>
      <w:rFonts w:eastAsiaTheme="minorEastAsia"/>
      <w:sz w:val="20"/>
      <w:szCs w:val="20"/>
    </w:rPr>
  </w:style>
  <w:style w:type="character" w:customStyle="1" w:styleId="EndnoteTextChar">
    <w:name w:val="Endnote Text Char"/>
    <w:basedOn w:val="DefaultParagraphFont"/>
    <w:link w:val="EndnoteText"/>
    <w:uiPriority w:val="99"/>
    <w:semiHidden/>
    <w:rsid w:val="00912B9A"/>
    <w:rPr>
      <w:rFonts w:ascii="Times New Roman" w:eastAsiaTheme="minorEastAsia" w:hAnsi="Times New Roman" w:cs="Times New Roman"/>
      <w:sz w:val="20"/>
      <w:szCs w:val="20"/>
      <w:lang w:val="en-GB"/>
    </w:rPr>
  </w:style>
  <w:style w:type="character" w:styleId="EndnoteReference">
    <w:name w:val="endnote reference"/>
    <w:basedOn w:val="DefaultParagraphFont"/>
    <w:uiPriority w:val="99"/>
    <w:semiHidden/>
    <w:unhideWhenUsed/>
    <w:rsid w:val="00912B9A"/>
    <w:rPr>
      <w:rFonts w:cs="Times New Roman"/>
      <w:vertAlign w:val="superscript"/>
    </w:rPr>
  </w:style>
  <w:style w:type="table" w:styleId="TableGrid">
    <w:name w:val="Table Grid"/>
    <w:basedOn w:val="TableNormal"/>
    <w:uiPriority w:val="39"/>
    <w:rsid w:val="00912B9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B9A"/>
    <w:rPr>
      <w:color w:val="0000FF"/>
      <w:u w:val="single"/>
    </w:rPr>
  </w:style>
  <w:style w:type="paragraph" w:customStyle="1" w:styleId="Footnote">
    <w:name w:val="Footnote"/>
    <w:basedOn w:val="Normal"/>
    <w:uiPriority w:val="10"/>
    <w:qFormat/>
    <w:rsid w:val="00912B9A"/>
    <w:pPr>
      <w:spacing w:before="0" w:after="0"/>
    </w:pPr>
    <w:rPr>
      <w:rFonts w:asciiTheme="minorHAnsi" w:hAnsiTheme="minorHAnsi" w:cstheme="minorBidi"/>
      <w:i/>
      <w:color w:val="002034"/>
      <w:sz w:val="16"/>
      <w:szCs w:val="16"/>
      <w:lang w:val="pt-BR"/>
    </w:rPr>
  </w:style>
  <w:style w:type="paragraph" w:styleId="ListNumber">
    <w:name w:val="List Number"/>
    <w:basedOn w:val="Normal"/>
    <w:uiPriority w:val="99"/>
    <w:semiHidden/>
    <w:unhideWhenUsed/>
    <w:rsid w:val="00912B9A"/>
    <w:pPr>
      <w:numPr>
        <w:numId w:val="5"/>
      </w:numPr>
      <w:contextualSpacing/>
    </w:pPr>
  </w:style>
  <w:style w:type="paragraph" w:styleId="ListNumber2">
    <w:name w:val="List Number 2"/>
    <w:basedOn w:val="Normal"/>
    <w:uiPriority w:val="99"/>
    <w:semiHidden/>
    <w:unhideWhenUsed/>
    <w:rsid w:val="00912B9A"/>
    <w:pPr>
      <w:numPr>
        <w:numId w:val="6"/>
      </w:numPr>
      <w:contextualSpacing/>
    </w:pPr>
  </w:style>
  <w:style w:type="paragraph" w:styleId="ListNumber3">
    <w:name w:val="List Number 3"/>
    <w:basedOn w:val="Normal"/>
    <w:uiPriority w:val="99"/>
    <w:semiHidden/>
    <w:unhideWhenUsed/>
    <w:rsid w:val="00912B9A"/>
    <w:pPr>
      <w:numPr>
        <w:numId w:val="7"/>
      </w:numPr>
      <w:contextualSpacing/>
    </w:pPr>
  </w:style>
  <w:style w:type="paragraph" w:styleId="ListNumber4">
    <w:name w:val="List Number 4"/>
    <w:basedOn w:val="Normal"/>
    <w:uiPriority w:val="99"/>
    <w:semiHidden/>
    <w:unhideWhenUsed/>
    <w:rsid w:val="00912B9A"/>
    <w:pPr>
      <w:numPr>
        <w:numId w:val="8"/>
      </w:numPr>
      <w:contextualSpacing/>
    </w:pPr>
  </w:style>
  <w:style w:type="paragraph" w:styleId="ListBullet">
    <w:name w:val="List Bullet"/>
    <w:basedOn w:val="Normal"/>
    <w:uiPriority w:val="99"/>
    <w:semiHidden/>
    <w:unhideWhenUsed/>
    <w:rsid w:val="00912B9A"/>
    <w:pPr>
      <w:numPr>
        <w:numId w:val="1"/>
      </w:numPr>
      <w:contextualSpacing/>
    </w:pPr>
  </w:style>
  <w:style w:type="paragraph" w:styleId="ListBullet2">
    <w:name w:val="List Bullet 2"/>
    <w:basedOn w:val="Normal"/>
    <w:uiPriority w:val="99"/>
    <w:semiHidden/>
    <w:unhideWhenUsed/>
    <w:rsid w:val="00912B9A"/>
    <w:pPr>
      <w:numPr>
        <w:numId w:val="2"/>
      </w:numPr>
      <w:contextualSpacing/>
    </w:pPr>
  </w:style>
  <w:style w:type="paragraph" w:styleId="ListBullet3">
    <w:name w:val="List Bullet 3"/>
    <w:basedOn w:val="Normal"/>
    <w:uiPriority w:val="99"/>
    <w:semiHidden/>
    <w:unhideWhenUsed/>
    <w:rsid w:val="00912B9A"/>
    <w:pPr>
      <w:numPr>
        <w:numId w:val="3"/>
      </w:numPr>
      <w:contextualSpacing/>
    </w:pPr>
  </w:style>
  <w:style w:type="paragraph" w:styleId="ListBullet4">
    <w:name w:val="List Bullet 4"/>
    <w:basedOn w:val="Normal"/>
    <w:uiPriority w:val="99"/>
    <w:semiHidden/>
    <w:unhideWhenUsed/>
    <w:rsid w:val="00912B9A"/>
    <w:pPr>
      <w:numPr>
        <w:numId w:val="4"/>
      </w:numPr>
      <w:contextualSpacing/>
    </w:pPr>
  </w:style>
  <w:style w:type="paragraph" w:styleId="TableofFigures">
    <w:name w:val="table of figures"/>
    <w:basedOn w:val="Normal"/>
    <w:next w:val="Normal"/>
    <w:uiPriority w:val="99"/>
    <w:semiHidden/>
    <w:unhideWhenUsed/>
    <w:rsid w:val="003E02FC"/>
    <w:pPr>
      <w:spacing w:after="0"/>
    </w:p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5"/>
      </w:numPr>
    </w:pPr>
  </w:style>
  <w:style w:type="paragraph" w:customStyle="1" w:styleId="Tiret1">
    <w:name w:val="Tiret 1"/>
    <w:basedOn w:val="Point1"/>
    <w:rsid w:val="00877878"/>
    <w:pPr>
      <w:numPr>
        <w:numId w:val="26"/>
      </w:numPr>
    </w:pPr>
  </w:style>
  <w:style w:type="paragraph" w:customStyle="1" w:styleId="Tiret2">
    <w:name w:val="Tiret 2"/>
    <w:basedOn w:val="Point2"/>
    <w:rsid w:val="00877878"/>
    <w:pPr>
      <w:numPr>
        <w:numId w:val="27"/>
      </w:numPr>
    </w:pPr>
  </w:style>
  <w:style w:type="paragraph" w:customStyle="1" w:styleId="Tiret3">
    <w:name w:val="Tiret 3"/>
    <w:basedOn w:val="Point3"/>
    <w:rsid w:val="00877878"/>
    <w:pPr>
      <w:numPr>
        <w:numId w:val="28"/>
      </w:numPr>
    </w:pPr>
  </w:style>
  <w:style w:type="paragraph" w:customStyle="1" w:styleId="Tiret4">
    <w:name w:val="Tiret 4"/>
    <w:basedOn w:val="Point4"/>
    <w:rsid w:val="00877878"/>
    <w:pPr>
      <w:numPr>
        <w:numId w:val="2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0"/>
      </w:numPr>
    </w:pPr>
  </w:style>
  <w:style w:type="paragraph" w:customStyle="1" w:styleId="NumPar2">
    <w:name w:val="NumPar 2"/>
    <w:basedOn w:val="Normal"/>
    <w:next w:val="Text1"/>
    <w:rsid w:val="00877878"/>
    <w:pPr>
      <w:numPr>
        <w:ilvl w:val="1"/>
        <w:numId w:val="30"/>
      </w:numPr>
    </w:pPr>
  </w:style>
  <w:style w:type="paragraph" w:customStyle="1" w:styleId="NumPar3">
    <w:name w:val="NumPar 3"/>
    <w:basedOn w:val="Normal"/>
    <w:next w:val="Text1"/>
    <w:rsid w:val="00877878"/>
    <w:pPr>
      <w:numPr>
        <w:ilvl w:val="2"/>
        <w:numId w:val="30"/>
      </w:numPr>
    </w:pPr>
  </w:style>
  <w:style w:type="paragraph" w:customStyle="1" w:styleId="NumPar4">
    <w:name w:val="NumPar 4"/>
    <w:basedOn w:val="Normal"/>
    <w:next w:val="Text1"/>
    <w:rsid w:val="00877878"/>
    <w:pPr>
      <w:numPr>
        <w:ilvl w:val="3"/>
        <w:numId w:val="3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2"/>
      </w:numPr>
    </w:pPr>
  </w:style>
  <w:style w:type="paragraph" w:customStyle="1" w:styleId="Point1number">
    <w:name w:val="Point 1 (number)"/>
    <w:basedOn w:val="Normal"/>
    <w:rsid w:val="00877878"/>
    <w:pPr>
      <w:numPr>
        <w:ilvl w:val="2"/>
        <w:numId w:val="32"/>
      </w:numPr>
    </w:pPr>
  </w:style>
  <w:style w:type="paragraph" w:customStyle="1" w:styleId="Point2number">
    <w:name w:val="Point 2 (number)"/>
    <w:basedOn w:val="Normal"/>
    <w:rsid w:val="00877878"/>
    <w:pPr>
      <w:numPr>
        <w:ilvl w:val="4"/>
        <w:numId w:val="32"/>
      </w:numPr>
    </w:pPr>
  </w:style>
  <w:style w:type="paragraph" w:customStyle="1" w:styleId="Point3number">
    <w:name w:val="Point 3 (number)"/>
    <w:basedOn w:val="Normal"/>
    <w:rsid w:val="00877878"/>
    <w:pPr>
      <w:numPr>
        <w:ilvl w:val="6"/>
        <w:numId w:val="32"/>
      </w:numPr>
    </w:pPr>
  </w:style>
  <w:style w:type="paragraph" w:customStyle="1" w:styleId="Point0letter">
    <w:name w:val="Point 0 (letter)"/>
    <w:basedOn w:val="Normal"/>
    <w:rsid w:val="00877878"/>
    <w:pPr>
      <w:numPr>
        <w:ilvl w:val="1"/>
        <w:numId w:val="32"/>
      </w:numPr>
    </w:pPr>
  </w:style>
  <w:style w:type="paragraph" w:customStyle="1" w:styleId="Point1letter">
    <w:name w:val="Point 1 (letter)"/>
    <w:basedOn w:val="Normal"/>
    <w:rsid w:val="00877878"/>
    <w:pPr>
      <w:numPr>
        <w:ilvl w:val="3"/>
        <w:numId w:val="32"/>
      </w:numPr>
    </w:pPr>
  </w:style>
  <w:style w:type="paragraph" w:customStyle="1" w:styleId="Point2letter">
    <w:name w:val="Point 2 (letter)"/>
    <w:basedOn w:val="Normal"/>
    <w:rsid w:val="00877878"/>
    <w:pPr>
      <w:numPr>
        <w:ilvl w:val="5"/>
        <w:numId w:val="32"/>
      </w:numPr>
    </w:pPr>
  </w:style>
  <w:style w:type="paragraph" w:customStyle="1" w:styleId="Point3letter">
    <w:name w:val="Point 3 (letter)"/>
    <w:basedOn w:val="Normal"/>
    <w:rsid w:val="00877878"/>
    <w:pPr>
      <w:numPr>
        <w:ilvl w:val="7"/>
        <w:numId w:val="32"/>
      </w:numPr>
    </w:pPr>
  </w:style>
  <w:style w:type="paragraph" w:customStyle="1" w:styleId="Point4letter">
    <w:name w:val="Point 4 (letter)"/>
    <w:basedOn w:val="Normal"/>
    <w:rsid w:val="00877878"/>
    <w:pPr>
      <w:numPr>
        <w:ilvl w:val="8"/>
        <w:numId w:val="32"/>
      </w:numPr>
    </w:pPr>
  </w:style>
  <w:style w:type="paragraph" w:customStyle="1" w:styleId="Bullet0">
    <w:name w:val="Bullet 0"/>
    <w:basedOn w:val="Normal"/>
    <w:rsid w:val="00877878"/>
    <w:pPr>
      <w:numPr>
        <w:numId w:val="33"/>
      </w:numPr>
    </w:pPr>
  </w:style>
  <w:style w:type="paragraph" w:customStyle="1" w:styleId="Bullet1">
    <w:name w:val="Bullet 1"/>
    <w:basedOn w:val="Normal"/>
    <w:rsid w:val="00877878"/>
    <w:pPr>
      <w:numPr>
        <w:numId w:val="34"/>
      </w:numPr>
    </w:pPr>
  </w:style>
  <w:style w:type="paragraph" w:customStyle="1" w:styleId="Bullet2">
    <w:name w:val="Bullet 2"/>
    <w:basedOn w:val="Normal"/>
    <w:rsid w:val="00877878"/>
    <w:pPr>
      <w:numPr>
        <w:numId w:val="35"/>
      </w:numPr>
    </w:pPr>
  </w:style>
  <w:style w:type="paragraph" w:customStyle="1" w:styleId="Bullet3">
    <w:name w:val="Bullet 3"/>
    <w:basedOn w:val="Normal"/>
    <w:rsid w:val="00877878"/>
    <w:pPr>
      <w:numPr>
        <w:numId w:val="36"/>
      </w:numPr>
    </w:pPr>
  </w:style>
  <w:style w:type="paragraph" w:customStyle="1" w:styleId="Bullet4">
    <w:name w:val="Bullet 4"/>
    <w:basedOn w:val="Normal"/>
    <w:rsid w:val="00877878"/>
    <w:pPr>
      <w:numPr>
        <w:numId w:val="3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rsid w:val="00912B9A"/>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rsid w:val="00912B9A"/>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rsid w:val="00912B9A"/>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rsid w:val="00912B9A"/>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rsid w:val="00912B9A"/>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912B9A"/>
    <w:rPr>
      <w:rFonts w:ascii="Arial" w:eastAsiaTheme="minorEastAsia" w:hAnsi="Arial" w:cs="Arial"/>
      <w:lang w:val="en-GB"/>
    </w:rPr>
  </w:style>
  <w:style w:type="character" w:customStyle="1" w:styleId="Heading6Char">
    <w:name w:val="Heading 6 Char"/>
    <w:basedOn w:val="DefaultParagraphFont"/>
    <w:link w:val="Heading6"/>
    <w:uiPriority w:val="99"/>
    <w:rsid w:val="00912B9A"/>
    <w:rPr>
      <w:rFonts w:ascii="Arial" w:eastAsiaTheme="minorEastAsia" w:hAnsi="Arial" w:cs="Arial"/>
      <w:i/>
      <w:iCs/>
      <w:lang w:val="en-GB"/>
    </w:rPr>
  </w:style>
  <w:style w:type="character" w:customStyle="1" w:styleId="Heading7Char">
    <w:name w:val="Heading 7 Char"/>
    <w:basedOn w:val="DefaultParagraphFont"/>
    <w:link w:val="Heading7"/>
    <w:uiPriority w:val="99"/>
    <w:rsid w:val="00912B9A"/>
    <w:rPr>
      <w:rFonts w:ascii="Arial" w:eastAsiaTheme="minorEastAsia" w:hAnsi="Arial" w:cs="Arial"/>
      <w:sz w:val="20"/>
      <w:szCs w:val="20"/>
      <w:lang w:val="en-GB"/>
    </w:rPr>
  </w:style>
  <w:style w:type="character" w:customStyle="1" w:styleId="Heading8Char">
    <w:name w:val="Heading 8 Char"/>
    <w:basedOn w:val="DefaultParagraphFont"/>
    <w:link w:val="Heading8"/>
    <w:uiPriority w:val="99"/>
    <w:rsid w:val="00912B9A"/>
    <w:rPr>
      <w:rFonts w:ascii="Arial" w:eastAsiaTheme="minorEastAsia" w:hAnsi="Arial" w:cs="Arial"/>
      <w:i/>
      <w:iCs/>
      <w:sz w:val="20"/>
      <w:szCs w:val="20"/>
      <w:lang w:val="en-GB"/>
    </w:rPr>
  </w:style>
  <w:style w:type="character" w:customStyle="1" w:styleId="Heading9Char">
    <w:name w:val="Heading 9 Char"/>
    <w:basedOn w:val="DefaultParagraphFont"/>
    <w:link w:val="Heading9"/>
    <w:uiPriority w:val="99"/>
    <w:rsid w:val="00912B9A"/>
    <w:rPr>
      <w:rFonts w:ascii="Arial" w:eastAsiaTheme="minorEastAsia" w:hAnsi="Arial" w:cs="Arial"/>
      <w:i/>
      <w:iCs/>
      <w:sz w:val="18"/>
      <w:szCs w:val="18"/>
      <w:lang w:val="en-GB"/>
    </w:rPr>
  </w:style>
  <w:style w:type="paragraph" w:styleId="Caption">
    <w:name w:val="caption"/>
    <w:basedOn w:val="Normal"/>
    <w:next w:val="Normal"/>
    <w:uiPriority w:val="99"/>
    <w:qFormat/>
    <w:rsid w:val="00912B9A"/>
    <w:pPr>
      <w:autoSpaceDE w:val="0"/>
      <w:autoSpaceDN w:val="0"/>
    </w:pPr>
    <w:rPr>
      <w:rFonts w:eastAsiaTheme="minorEastAsia"/>
      <w:b/>
      <w:bCs/>
      <w:szCs w:val="24"/>
    </w:rPr>
  </w:style>
  <w:style w:type="character" w:styleId="CommentReference">
    <w:name w:val="annotation reference"/>
    <w:basedOn w:val="DefaultParagraphFont"/>
    <w:uiPriority w:val="99"/>
    <w:rsid w:val="00912B9A"/>
    <w:rPr>
      <w:rFonts w:cs="Times New Roman"/>
      <w:sz w:val="16"/>
      <w:szCs w:val="16"/>
    </w:rPr>
  </w:style>
  <w:style w:type="paragraph" w:styleId="CommentText">
    <w:name w:val="annotation text"/>
    <w:basedOn w:val="Normal"/>
    <w:link w:val="CommentTextChar"/>
    <w:uiPriority w:val="99"/>
    <w:rsid w:val="00912B9A"/>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sid w:val="00912B9A"/>
    <w:rPr>
      <w:rFonts w:ascii="Times New Roman" w:eastAsiaTheme="minorEastAsia" w:hAnsi="Times New Roman" w:cs="Times New Roman"/>
      <w:sz w:val="20"/>
      <w:szCs w:val="20"/>
      <w:lang w:val="en-GB"/>
    </w:rPr>
  </w:style>
  <w:style w:type="paragraph" w:customStyle="1" w:styleId="FichedimpactPMEtitre">
    <w:name w:val="Fiche d'impact PME titre"/>
    <w:basedOn w:val="Normal"/>
    <w:next w:val="Normal"/>
    <w:uiPriority w:val="99"/>
    <w:rsid w:val="00912B9A"/>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rsid w:val="00912B9A"/>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rsid w:val="00912B9A"/>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rsid w:val="00912B9A"/>
    <w:pPr>
      <w:autoSpaceDE w:val="0"/>
      <w:autoSpaceDN w:val="0"/>
      <w:jc w:val="center"/>
    </w:pPr>
    <w:rPr>
      <w:rFonts w:eastAsiaTheme="minorEastAsia"/>
      <w:b/>
      <w:bCs/>
      <w:sz w:val="40"/>
      <w:szCs w:val="40"/>
    </w:rPr>
  </w:style>
  <w:style w:type="character" w:styleId="PageNumber">
    <w:name w:val="page number"/>
    <w:basedOn w:val="DefaultParagraphFont"/>
    <w:uiPriority w:val="99"/>
    <w:rsid w:val="00912B9A"/>
    <w:rPr>
      <w:rFonts w:cs="Times New Roman"/>
    </w:rPr>
  </w:style>
  <w:style w:type="paragraph" w:styleId="TOAHeading">
    <w:name w:val="toa heading"/>
    <w:basedOn w:val="Normal"/>
    <w:next w:val="Normal"/>
    <w:uiPriority w:val="99"/>
    <w:rsid w:val="00912B9A"/>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rsid w:val="00912B9A"/>
    <w:pPr>
      <w:autoSpaceDE w:val="0"/>
      <w:autoSpaceDN w:val="0"/>
      <w:spacing w:before="240" w:after="60"/>
      <w:jc w:val="left"/>
    </w:pPr>
    <w:rPr>
      <w:rFonts w:eastAsiaTheme="minorEastAsia"/>
      <w:b/>
      <w:bCs/>
      <w:szCs w:val="24"/>
      <w:lang w:val="en-US"/>
    </w:rPr>
  </w:style>
  <w:style w:type="paragraph" w:customStyle="1" w:styleId="Referencedumodificateur">
    <w:name w:val="Reference du modificateur"/>
    <w:basedOn w:val="Normal"/>
    <w:next w:val="Normal"/>
    <w:uiPriority w:val="99"/>
    <w:rsid w:val="00912B9A"/>
    <w:pPr>
      <w:autoSpaceDE w:val="0"/>
      <w:autoSpaceDN w:val="0"/>
      <w:spacing w:before="0"/>
      <w:jc w:val="left"/>
    </w:pPr>
    <w:rPr>
      <w:rFonts w:eastAsiaTheme="minorEastAsia"/>
      <w:szCs w:val="24"/>
      <w:lang w:val="en-US"/>
    </w:rPr>
  </w:style>
  <w:style w:type="paragraph" w:styleId="BalloonText">
    <w:name w:val="Balloon Text"/>
    <w:basedOn w:val="Normal"/>
    <w:link w:val="BalloonTextChar"/>
    <w:uiPriority w:val="99"/>
    <w:semiHidden/>
    <w:unhideWhenUsed/>
    <w:rsid w:val="00912B9A"/>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12B9A"/>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12B9A"/>
    <w:rPr>
      <w:b/>
      <w:bCs/>
    </w:rPr>
  </w:style>
  <w:style w:type="character" w:customStyle="1" w:styleId="CommentSubjectChar">
    <w:name w:val="Comment Subject Char"/>
    <w:basedOn w:val="CommentTextChar"/>
    <w:link w:val="CommentSubject"/>
    <w:uiPriority w:val="99"/>
    <w:semiHidden/>
    <w:rsid w:val="00912B9A"/>
    <w:rPr>
      <w:rFonts w:ascii="Times New Roman" w:eastAsiaTheme="minorEastAsia" w:hAnsi="Times New Roman" w:cs="Times New Roman"/>
      <w:b/>
      <w:bCs/>
      <w:sz w:val="20"/>
      <w:szCs w:val="20"/>
      <w:lang w:val="en-GB"/>
    </w:rPr>
  </w:style>
  <w:style w:type="paragraph" w:styleId="Revision">
    <w:name w:val="Revision"/>
    <w:hidden/>
    <w:uiPriority w:val="99"/>
    <w:semiHidden/>
    <w:rsid w:val="00912B9A"/>
    <w:pPr>
      <w:spacing w:after="0" w:line="240" w:lineRule="auto"/>
    </w:pPr>
    <w:rPr>
      <w:rFonts w:ascii="Times New Roman" w:eastAsiaTheme="minorEastAsia" w:hAnsi="Times New Roman" w:cs="Times New Roman"/>
      <w:sz w:val="24"/>
      <w:szCs w:val="24"/>
      <w:lang w:val="en-GB"/>
    </w:rPr>
  </w:style>
  <w:style w:type="paragraph" w:styleId="ListParagraph">
    <w:name w:val="List Paragraph"/>
    <w:basedOn w:val="Normal"/>
    <w:link w:val="ListParagraphChar"/>
    <w:uiPriority w:val="34"/>
    <w:qFormat/>
    <w:rsid w:val="00912B9A"/>
    <w:pPr>
      <w:spacing w:before="0" w:after="160" w:line="259" w:lineRule="auto"/>
      <w:ind w:left="720"/>
      <w:contextualSpacing/>
      <w:jc w:val="left"/>
    </w:pPr>
    <w:rPr>
      <w:rFonts w:ascii="Calibri" w:eastAsiaTheme="minorEastAsia" w:hAnsi="Calibri"/>
      <w:sz w:val="22"/>
    </w:rPr>
  </w:style>
  <w:style w:type="paragraph" w:customStyle="1" w:styleId="Default">
    <w:name w:val="Default"/>
    <w:basedOn w:val="Normal"/>
    <w:rsid w:val="00912B9A"/>
    <w:pPr>
      <w:autoSpaceDE w:val="0"/>
      <w:autoSpaceDN w:val="0"/>
      <w:adjustRightInd w:val="0"/>
      <w:spacing w:before="0" w:after="0"/>
    </w:pPr>
    <w:rPr>
      <w:rFonts w:ascii="Calibri" w:eastAsiaTheme="minorEastAsia" w:hAnsi="Calibri"/>
      <w:color w:val="000000"/>
      <w:sz w:val="20"/>
      <w:szCs w:val="24"/>
      <w:lang w:eastAsia="en-GB"/>
    </w:rPr>
  </w:style>
  <w:style w:type="paragraph" w:customStyle="1" w:styleId="CM4">
    <w:name w:val="CM4"/>
    <w:basedOn w:val="Default"/>
    <w:next w:val="Default"/>
    <w:uiPriority w:val="99"/>
    <w:rsid w:val="00912B9A"/>
  </w:style>
  <w:style w:type="character" w:customStyle="1" w:styleId="ListParagraphChar">
    <w:name w:val="List Paragraph Char"/>
    <w:link w:val="ListParagraph"/>
    <w:uiPriority w:val="34"/>
    <w:locked/>
    <w:rsid w:val="00912B9A"/>
    <w:rPr>
      <w:rFonts w:ascii="Calibri" w:eastAsiaTheme="minorEastAsia" w:hAnsi="Calibri" w:cs="Times New Roman"/>
      <w:lang w:val="en-GB"/>
    </w:rPr>
  </w:style>
  <w:style w:type="paragraph" w:styleId="EndnoteText">
    <w:name w:val="endnote text"/>
    <w:basedOn w:val="Normal"/>
    <w:link w:val="EndnoteTextChar"/>
    <w:uiPriority w:val="99"/>
    <w:semiHidden/>
    <w:unhideWhenUsed/>
    <w:rsid w:val="00912B9A"/>
    <w:pPr>
      <w:autoSpaceDE w:val="0"/>
      <w:autoSpaceDN w:val="0"/>
    </w:pPr>
    <w:rPr>
      <w:rFonts w:eastAsiaTheme="minorEastAsia"/>
      <w:sz w:val="20"/>
      <w:szCs w:val="20"/>
    </w:rPr>
  </w:style>
  <w:style w:type="character" w:customStyle="1" w:styleId="EndnoteTextChar">
    <w:name w:val="Endnote Text Char"/>
    <w:basedOn w:val="DefaultParagraphFont"/>
    <w:link w:val="EndnoteText"/>
    <w:uiPriority w:val="99"/>
    <w:semiHidden/>
    <w:rsid w:val="00912B9A"/>
    <w:rPr>
      <w:rFonts w:ascii="Times New Roman" w:eastAsiaTheme="minorEastAsia" w:hAnsi="Times New Roman" w:cs="Times New Roman"/>
      <w:sz w:val="20"/>
      <w:szCs w:val="20"/>
      <w:lang w:val="en-GB"/>
    </w:rPr>
  </w:style>
  <w:style w:type="character" w:styleId="EndnoteReference">
    <w:name w:val="endnote reference"/>
    <w:basedOn w:val="DefaultParagraphFont"/>
    <w:uiPriority w:val="99"/>
    <w:semiHidden/>
    <w:unhideWhenUsed/>
    <w:rsid w:val="00912B9A"/>
    <w:rPr>
      <w:rFonts w:cs="Times New Roman"/>
      <w:vertAlign w:val="superscript"/>
    </w:rPr>
  </w:style>
  <w:style w:type="table" w:styleId="TableGrid">
    <w:name w:val="Table Grid"/>
    <w:basedOn w:val="TableNormal"/>
    <w:uiPriority w:val="39"/>
    <w:rsid w:val="00912B9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B9A"/>
    <w:rPr>
      <w:color w:val="0000FF"/>
      <w:u w:val="single"/>
    </w:rPr>
  </w:style>
  <w:style w:type="paragraph" w:customStyle="1" w:styleId="Footnote">
    <w:name w:val="Footnote"/>
    <w:basedOn w:val="Normal"/>
    <w:uiPriority w:val="10"/>
    <w:qFormat/>
    <w:rsid w:val="00912B9A"/>
    <w:pPr>
      <w:spacing w:before="0" w:after="0"/>
    </w:pPr>
    <w:rPr>
      <w:rFonts w:asciiTheme="minorHAnsi" w:hAnsiTheme="minorHAnsi" w:cstheme="minorBidi"/>
      <w:i/>
      <w:color w:val="002034"/>
      <w:sz w:val="16"/>
      <w:szCs w:val="16"/>
      <w:lang w:val="pt-BR"/>
    </w:rPr>
  </w:style>
  <w:style w:type="paragraph" w:styleId="ListNumber">
    <w:name w:val="List Number"/>
    <w:basedOn w:val="Normal"/>
    <w:uiPriority w:val="99"/>
    <w:semiHidden/>
    <w:unhideWhenUsed/>
    <w:rsid w:val="00912B9A"/>
    <w:pPr>
      <w:numPr>
        <w:numId w:val="5"/>
      </w:numPr>
      <w:contextualSpacing/>
    </w:pPr>
  </w:style>
  <w:style w:type="paragraph" w:styleId="ListNumber2">
    <w:name w:val="List Number 2"/>
    <w:basedOn w:val="Normal"/>
    <w:uiPriority w:val="99"/>
    <w:semiHidden/>
    <w:unhideWhenUsed/>
    <w:rsid w:val="00912B9A"/>
    <w:pPr>
      <w:numPr>
        <w:numId w:val="6"/>
      </w:numPr>
      <w:contextualSpacing/>
    </w:pPr>
  </w:style>
  <w:style w:type="paragraph" w:styleId="ListNumber3">
    <w:name w:val="List Number 3"/>
    <w:basedOn w:val="Normal"/>
    <w:uiPriority w:val="99"/>
    <w:semiHidden/>
    <w:unhideWhenUsed/>
    <w:rsid w:val="00912B9A"/>
    <w:pPr>
      <w:numPr>
        <w:numId w:val="7"/>
      </w:numPr>
      <w:contextualSpacing/>
    </w:pPr>
  </w:style>
  <w:style w:type="paragraph" w:styleId="ListNumber4">
    <w:name w:val="List Number 4"/>
    <w:basedOn w:val="Normal"/>
    <w:uiPriority w:val="99"/>
    <w:semiHidden/>
    <w:unhideWhenUsed/>
    <w:rsid w:val="00912B9A"/>
    <w:pPr>
      <w:numPr>
        <w:numId w:val="8"/>
      </w:numPr>
      <w:contextualSpacing/>
    </w:pPr>
  </w:style>
  <w:style w:type="paragraph" w:styleId="ListBullet">
    <w:name w:val="List Bullet"/>
    <w:basedOn w:val="Normal"/>
    <w:uiPriority w:val="99"/>
    <w:semiHidden/>
    <w:unhideWhenUsed/>
    <w:rsid w:val="00912B9A"/>
    <w:pPr>
      <w:numPr>
        <w:numId w:val="1"/>
      </w:numPr>
      <w:contextualSpacing/>
    </w:pPr>
  </w:style>
  <w:style w:type="paragraph" w:styleId="ListBullet2">
    <w:name w:val="List Bullet 2"/>
    <w:basedOn w:val="Normal"/>
    <w:uiPriority w:val="99"/>
    <w:semiHidden/>
    <w:unhideWhenUsed/>
    <w:rsid w:val="00912B9A"/>
    <w:pPr>
      <w:numPr>
        <w:numId w:val="2"/>
      </w:numPr>
      <w:contextualSpacing/>
    </w:pPr>
  </w:style>
  <w:style w:type="paragraph" w:styleId="ListBullet3">
    <w:name w:val="List Bullet 3"/>
    <w:basedOn w:val="Normal"/>
    <w:uiPriority w:val="99"/>
    <w:semiHidden/>
    <w:unhideWhenUsed/>
    <w:rsid w:val="00912B9A"/>
    <w:pPr>
      <w:numPr>
        <w:numId w:val="3"/>
      </w:numPr>
      <w:contextualSpacing/>
    </w:pPr>
  </w:style>
  <w:style w:type="paragraph" w:styleId="ListBullet4">
    <w:name w:val="List Bullet 4"/>
    <w:basedOn w:val="Normal"/>
    <w:uiPriority w:val="99"/>
    <w:semiHidden/>
    <w:unhideWhenUsed/>
    <w:rsid w:val="00912B9A"/>
    <w:pPr>
      <w:numPr>
        <w:numId w:val="4"/>
      </w:numPr>
      <w:contextualSpacing/>
    </w:pPr>
  </w:style>
  <w:style w:type="paragraph" w:styleId="TableofFigures">
    <w:name w:val="table of figures"/>
    <w:basedOn w:val="Normal"/>
    <w:next w:val="Normal"/>
    <w:uiPriority w:val="99"/>
    <w:semiHidden/>
    <w:unhideWhenUsed/>
    <w:rsid w:val="003E02FC"/>
    <w:pPr>
      <w:spacing w:after="0"/>
    </w:p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5"/>
      </w:numPr>
    </w:pPr>
  </w:style>
  <w:style w:type="paragraph" w:customStyle="1" w:styleId="Tiret1">
    <w:name w:val="Tiret 1"/>
    <w:basedOn w:val="Point1"/>
    <w:rsid w:val="00877878"/>
    <w:pPr>
      <w:numPr>
        <w:numId w:val="26"/>
      </w:numPr>
    </w:pPr>
  </w:style>
  <w:style w:type="paragraph" w:customStyle="1" w:styleId="Tiret2">
    <w:name w:val="Tiret 2"/>
    <w:basedOn w:val="Point2"/>
    <w:rsid w:val="00877878"/>
    <w:pPr>
      <w:numPr>
        <w:numId w:val="27"/>
      </w:numPr>
    </w:pPr>
  </w:style>
  <w:style w:type="paragraph" w:customStyle="1" w:styleId="Tiret3">
    <w:name w:val="Tiret 3"/>
    <w:basedOn w:val="Point3"/>
    <w:rsid w:val="00877878"/>
    <w:pPr>
      <w:numPr>
        <w:numId w:val="28"/>
      </w:numPr>
    </w:pPr>
  </w:style>
  <w:style w:type="paragraph" w:customStyle="1" w:styleId="Tiret4">
    <w:name w:val="Tiret 4"/>
    <w:basedOn w:val="Point4"/>
    <w:rsid w:val="00877878"/>
    <w:pPr>
      <w:numPr>
        <w:numId w:val="2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0"/>
      </w:numPr>
    </w:pPr>
  </w:style>
  <w:style w:type="paragraph" w:customStyle="1" w:styleId="NumPar2">
    <w:name w:val="NumPar 2"/>
    <w:basedOn w:val="Normal"/>
    <w:next w:val="Text1"/>
    <w:rsid w:val="00877878"/>
    <w:pPr>
      <w:numPr>
        <w:ilvl w:val="1"/>
        <w:numId w:val="30"/>
      </w:numPr>
    </w:pPr>
  </w:style>
  <w:style w:type="paragraph" w:customStyle="1" w:styleId="NumPar3">
    <w:name w:val="NumPar 3"/>
    <w:basedOn w:val="Normal"/>
    <w:next w:val="Text1"/>
    <w:rsid w:val="00877878"/>
    <w:pPr>
      <w:numPr>
        <w:ilvl w:val="2"/>
        <w:numId w:val="30"/>
      </w:numPr>
    </w:pPr>
  </w:style>
  <w:style w:type="paragraph" w:customStyle="1" w:styleId="NumPar4">
    <w:name w:val="NumPar 4"/>
    <w:basedOn w:val="Normal"/>
    <w:next w:val="Text1"/>
    <w:rsid w:val="00877878"/>
    <w:pPr>
      <w:numPr>
        <w:ilvl w:val="3"/>
        <w:numId w:val="3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2"/>
      </w:numPr>
    </w:pPr>
  </w:style>
  <w:style w:type="paragraph" w:customStyle="1" w:styleId="Point1number">
    <w:name w:val="Point 1 (number)"/>
    <w:basedOn w:val="Normal"/>
    <w:rsid w:val="00877878"/>
    <w:pPr>
      <w:numPr>
        <w:ilvl w:val="2"/>
        <w:numId w:val="32"/>
      </w:numPr>
    </w:pPr>
  </w:style>
  <w:style w:type="paragraph" w:customStyle="1" w:styleId="Point2number">
    <w:name w:val="Point 2 (number)"/>
    <w:basedOn w:val="Normal"/>
    <w:rsid w:val="00877878"/>
    <w:pPr>
      <w:numPr>
        <w:ilvl w:val="4"/>
        <w:numId w:val="32"/>
      </w:numPr>
    </w:pPr>
  </w:style>
  <w:style w:type="paragraph" w:customStyle="1" w:styleId="Point3number">
    <w:name w:val="Point 3 (number)"/>
    <w:basedOn w:val="Normal"/>
    <w:rsid w:val="00877878"/>
    <w:pPr>
      <w:numPr>
        <w:ilvl w:val="6"/>
        <w:numId w:val="32"/>
      </w:numPr>
    </w:pPr>
  </w:style>
  <w:style w:type="paragraph" w:customStyle="1" w:styleId="Point0letter">
    <w:name w:val="Point 0 (letter)"/>
    <w:basedOn w:val="Normal"/>
    <w:rsid w:val="00877878"/>
    <w:pPr>
      <w:numPr>
        <w:ilvl w:val="1"/>
        <w:numId w:val="32"/>
      </w:numPr>
    </w:pPr>
  </w:style>
  <w:style w:type="paragraph" w:customStyle="1" w:styleId="Point1letter">
    <w:name w:val="Point 1 (letter)"/>
    <w:basedOn w:val="Normal"/>
    <w:rsid w:val="00877878"/>
    <w:pPr>
      <w:numPr>
        <w:ilvl w:val="3"/>
        <w:numId w:val="32"/>
      </w:numPr>
    </w:pPr>
  </w:style>
  <w:style w:type="paragraph" w:customStyle="1" w:styleId="Point2letter">
    <w:name w:val="Point 2 (letter)"/>
    <w:basedOn w:val="Normal"/>
    <w:rsid w:val="00877878"/>
    <w:pPr>
      <w:numPr>
        <w:ilvl w:val="5"/>
        <w:numId w:val="32"/>
      </w:numPr>
    </w:pPr>
  </w:style>
  <w:style w:type="paragraph" w:customStyle="1" w:styleId="Point3letter">
    <w:name w:val="Point 3 (letter)"/>
    <w:basedOn w:val="Normal"/>
    <w:rsid w:val="00877878"/>
    <w:pPr>
      <w:numPr>
        <w:ilvl w:val="7"/>
        <w:numId w:val="32"/>
      </w:numPr>
    </w:pPr>
  </w:style>
  <w:style w:type="paragraph" w:customStyle="1" w:styleId="Point4letter">
    <w:name w:val="Point 4 (letter)"/>
    <w:basedOn w:val="Normal"/>
    <w:rsid w:val="00877878"/>
    <w:pPr>
      <w:numPr>
        <w:ilvl w:val="8"/>
        <w:numId w:val="32"/>
      </w:numPr>
    </w:pPr>
  </w:style>
  <w:style w:type="paragraph" w:customStyle="1" w:styleId="Bullet0">
    <w:name w:val="Bullet 0"/>
    <w:basedOn w:val="Normal"/>
    <w:rsid w:val="00877878"/>
    <w:pPr>
      <w:numPr>
        <w:numId w:val="33"/>
      </w:numPr>
    </w:pPr>
  </w:style>
  <w:style w:type="paragraph" w:customStyle="1" w:styleId="Bullet1">
    <w:name w:val="Bullet 1"/>
    <w:basedOn w:val="Normal"/>
    <w:rsid w:val="00877878"/>
    <w:pPr>
      <w:numPr>
        <w:numId w:val="34"/>
      </w:numPr>
    </w:pPr>
  </w:style>
  <w:style w:type="paragraph" w:customStyle="1" w:styleId="Bullet2">
    <w:name w:val="Bullet 2"/>
    <w:basedOn w:val="Normal"/>
    <w:rsid w:val="00877878"/>
    <w:pPr>
      <w:numPr>
        <w:numId w:val="35"/>
      </w:numPr>
    </w:pPr>
  </w:style>
  <w:style w:type="paragraph" w:customStyle="1" w:styleId="Bullet3">
    <w:name w:val="Bullet 3"/>
    <w:basedOn w:val="Normal"/>
    <w:rsid w:val="00877878"/>
    <w:pPr>
      <w:numPr>
        <w:numId w:val="36"/>
      </w:numPr>
    </w:pPr>
  </w:style>
  <w:style w:type="paragraph" w:customStyle="1" w:styleId="Bullet4">
    <w:name w:val="Bullet 4"/>
    <w:basedOn w:val="Normal"/>
    <w:rsid w:val="00877878"/>
    <w:pPr>
      <w:numPr>
        <w:numId w:val="3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7E19-80ED-486A-9BC7-19E19FF6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1858</Words>
  <Characters>10408</Characters>
  <Application>Microsoft Office Word</Application>
  <DocSecurity>0</DocSecurity>
  <Lines>180</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COLET</dc:creator>
  <cp:lastModifiedBy>Solange COLET</cp:lastModifiedBy>
  <cp:revision>3</cp:revision>
  <cp:lastPrinted>2017-10-27T10:26:00Z</cp:lastPrinted>
  <dcterms:created xsi:type="dcterms:W3CDTF">2017-11-13T13:13:00Z</dcterms:created>
  <dcterms:modified xsi:type="dcterms:W3CDTF">2017-11-13T13:13:00Z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LWCR Document">
    <vt:lpwstr>True</vt:lpwstr>
  </property>
  <property fmtid="{D5CDD505-2E9C-101B-9397-08002B2CF9AE}" pid="7" name="LWCR Version">
    <vt:lpwstr>1.3.3</vt:lpwstr>
  </property>
  <property fmtid="{D5CDD505-2E9C-101B-9397-08002B2CF9AE}" pid="8" name="ContentTypeId">
    <vt:lpwstr>0x010100CA9806D3932DA942ADAA782981EB548D17008047D739D24F3E43BB40B3993138E0FA</vt:lpwstr>
  </property>
  <property fmtid="{D5CDD505-2E9C-101B-9397-08002B2CF9AE}" pid="9" name="l2b697698c5b48f3a6ba074d712c5d22">
    <vt:lpwstr>Management Meeting|cae9c8c3-25e5-4a5d-a79e-0d4b202fb7e0</vt:lpwstr>
  </property>
  <property fmtid="{D5CDD505-2E9C-101B-9397-08002B2CF9AE}" pid="10" name="d6a99a24ad8d40daa6faef244685dc83">
    <vt:lpwstr>05. Evaluation, Management and Resources|9f9117f7-1e8b-4faa-b934-61c8eb6161ac</vt:lpwstr>
  </property>
  <property fmtid="{D5CDD505-2E9C-101B-9397-08002B2CF9AE}" pid="11" name="_dlc_DocIdItemGuid">
    <vt:lpwstr>5431b164-0db0-40ec-a475-1621d213aa09</vt:lpwstr>
  </property>
  <property fmtid="{D5CDD505-2E9C-101B-9397-08002B2CF9AE}" pid="12" name="Origin-Author">
    <vt:lpwstr>141;#ERA|8287c6ea-6f12-4bfd-9fc9-6825fce534f5</vt:lpwstr>
  </property>
  <property fmtid="{D5CDD505-2E9C-101B-9397-08002B2CF9AE}" pid="13" name="ABS">
    <vt:lpwstr>491;#05. Evaluation, Management and Resources|9f9117f7-1e8b-4faa-b934-61c8eb6161ac</vt:lpwstr>
  </property>
  <property fmtid="{D5CDD505-2E9C-101B-9397-08002B2CF9AE}" pid="14" name="Archive Area">
    <vt:lpwstr>721;#Management Meeting|cae9c8c3-25e5-4a5d-a79e-0d4b202fb7e0</vt:lpwstr>
  </property>
  <property fmtid="{D5CDD505-2E9C-101B-9397-08002B2CF9AE}" pid="15" name="Document type">
    <vt:lpwstr>863;#Recommendation|0094251b-2d02-430f-82dc-3bdbe5b6329a</vt:lpwstr>
  </property>
  <property fmtid="{D5CDD505-2E9C-101B-9397-08002B2CF9AE}" pid="16" name="Process">
    <vt:lpwstr>579;#Project, Programme and Service management|51511ef3-5a60-4eaa-8f0e-9a1ea670b699</vt:lpwstr>
  </property>
  <property fmtid="{D5CDD505-2E9C-101B-9397-08002B2CF9AE}" pid="17" name="4RP Project">
    <vt:lpwstr>864;#01-05 – CSMs revision|21a13817-79af-4422-933f-298774ae403b</vt:lpwstr>
  </property>
  <property fmtid="{D5CDD505-2E9C-101B-9397-08002B2CF9AE}" pid="18" name="Part">
    <vt:lpwstr>1</vt:lpwstr>
  </property>
  <property fmtid="{D5CDD505-2E9C-101B-9397-08002B2CF9AE}" pid="19" name="Total parts">
    <vt:lpwstr>1</vt:lpwstr>
  </property>
  <property fmtid="{D5CDD505-2E9C-101B-9397-08002B2CF9AE}" pid="20" name="LWTemplateID">
    <vt:lpwstr>SJ-003</vt:lpwstr>
  </property>
  <property fmtid="{D5CDD505-2E9C-101B-9397-08002B2CF9AE}" pid="21" name="Level of sensitivity">
    <vt:lpwstr>Standard treatment</vt:lpwstr>
  </property>
  <property fmtid="{D5CDD505-2E9C-101B-9397-08002B2CF9AE}" pid="22" name="DQCStatus">
    <vt:lpwstr>Green (DQC version 03)</vt:lpwstr>
  </property>
</Properties>
</file>