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E2" w:rsidRPr="00C755BB" w:rsidRDefault="00F00A57" w:rsidP="00CE7FBA">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FB56FF4-F727-4A6A-A6DE-69A6F0FE1470" style="width:450.35pt;height:408.9pt">
            <v:imagedata r:id="rId9" o:title=""/>
          </v:shape>
        </w:pict>
      </w:r>
    </w:p>
    <w:p w:rsidR="00912B9A" w:rsidRPr="00C755BB" w:rsidRDefault="00912B9A" w:rsidP="00912B9A">
      <w:pPr>
        <w:rPr>
          <w:noProof/>
        </w:rPr>
        <w:sectPr w:rsidR="00912B9A" w:rsidRPr="00C755BB" w:rsidSect="00CE7FBA">
          <w:headerReference w:type="even" r:id="rId10"/>
          <w:headerReference w:type="default" r:id="rId11"/>
          <w:footerReference w:type="even" r:id="rId12"/>
          <w:footerReference w:type="default" r:id="rId13"/>
          <w:headerReference w:type="first" r:id="rId14"/>
          <w:footerReference w:type="first" r:id="rId15"/>
          <w:pgSz w:w="11907" w:h="16839"/>
          <w:pgMar w:top="1134" w:right="1418" w:bottom="1134" w:left="1418" w:header="709" w:footer="709" w:gutter="0"/>
          <w:pgNumType w:start="0"/>
          <w:cols w:space="720"/>
          <w:docGrid w:linePitch="360"/>
        </w:sectPr>
      </w:pPr>
    </w:p>
    <w:p w:rsidR="00DF06EF" w:rsidRPr="00C755BB" w:rsidRDefault="00DF06EF" w:rsidP="00DF06EF">
      <w:pPr>
        <w:pStyle w:val="Exposdesmotifstitre"/>
      </w:pPr>
      <w:r w:rsidRPr="00C755BB">
        <w:t>UZASADNIENIE</w:t>
      </w:r>
    </w:p>
    <w:p w:rsidR="00DF06EF" w:rsidRPr="00C755BB" w:rsidRDefault="00DF06EF" w:rsidP="00DF06EF">
      <w:pPr>
        <w:pStyle w:val="ManualHeading1"/>
      </w:pPr>
      <w:r w:rsidRPr="00C755BB">
        <w:t>1.</w:t>
      </w:r>
      <w:r w:rsidRPr="00C755BB">
        <w:tab/>
        <w:t>KONTEKST AKTU DELEGOWANEGO</w:t>
      </w:r>
    </w:p>
    <w:p w:rsidR="00DF06EF" w:rsidRPr="00C755BB" w:rsidRDefault="00AC5B2D" w:rsidP="00DF06EF">
      <w:pPr>
        <w:rPr>
          <w:noProof/>
        </w:rPr>
      </w:pPr>
      <w:r w:rsidRPr="00C755BB">
        <w:t>Dyrektywa (UE) 2016/798 ma na celu między innymi poprawę dostępu do rynku usług transportu kolejowego poprzez określenie wspólnych zasad zarządzania bezpieczeństwem kolei oraz wspólnych zasad regulacji</w:t>
      </w:r>
      <w:r w:rsidR="00CE7FBA" w:rsidRPr="00C755BB">
        <w:t xml:space="preserve"> i</w:t>
      </w:r>
      <w:r w:rsidR="00CE7FBA">
        <w:t> </w:t>
      </w:r>
      <w:r w:rsidR="00CE7FBA" w:rsidRPr="00C755BB">
        <w:t>nad</w:t>
      </w:r>
      <w:r w:rsidRPr="00C755BB">
        <w:t>zoru</w:t>
      </w:r>
      <w:r w:rsidR="00CE7FBA" w:rsidRPr="00C755BB">
        <w:t xml:space="preserve"> w</w:t>
      </w:r>
      <w:r w:rsidR="00CE7FBA">
        <w:t> </w:t>
      </w:r>
      <w:r w:rsidR="00CE7FBA" w:rsidRPr="00C755BB">
        <w:t>tym</w:t>
      </w:r>
      <w:r w:rsidRPr="00C755BB">
        <w:t xml:space="preserve"> zakresie</w:t>
      </w:r>
      <w:r w:rsidR="00CE7FBA" w:rsidRPr="00C755BB">
        <w:t>. W</w:t>
      </w:r>
      <w:r w:rsidR="00CE7FBA">
        <w:t> </w:t>
      </w:r>
      <w:r w:rsidR="00CE7FBA" w:rsidRPr="00C755BB">
        <w:t>szc</w:t>
      </w:r>
      <w:r w:rsidRPr="00C755BB">
        <w:t xml:space="preserve">zególności </w:t>
      </w:r>
      <w:r w:rsidRPr="00CE7FBA">
        <w:t>art.</w:t>
      </w:r>
      <w:r w:rsidR="00CE7FBA" w:rsidRPr="00CE7FBA">
        <w:t> </w:t>
      </w:r>
      <w:r w:rsidRPr="00CE7FBA">
        <w:t>1</w:t>
      </w:r>
      <w:r w:rsidRPr="00C755BB">
        <w:t xml:space="preserve">0 </w:t>
      </w:r>
      <w:r w:rsidRPr="00CE7FBA">
        <w:t>ust.</w:t>
      </w:r>
      <w:r w:rsidR="00CE7FBA" w:rsidRPr="00CE7FBA">
        <w:t> </w:t>
      </w:r>
      <w:r w:rsidRPr="00CE7FBA">
        <w:t>1</w:t>
      </w:r>
      <w:r w:rsidRPr="00C755BB">
        <w:t xml:space="preserve"> dyrektywy (UE) 2016/798 nakłada na wszystkie przedsiębiorstwa kolejowe wymóg ubiegania się</w:t>
      </w:r>
      <w:r w:rsidR="00CE7FBA" w:rsidRPr="00C755BB">
        <w:t xml:space="preserve"> o</w:t>
      </w:r>
      <w:r w:rsidR="00CE7FBA">
        <w:t> </w:t>
      </w:r>
      <w:r w:rsidR="00CE7FBA" w:rsidRPr="00C755BB">
        <w:t>jed</w:t>
      </w:r>
      <w:r w:rsidRPr="00C755BB">
        <w:t xml:space="preserve">nolity certyfikat bezpieczeństwa przed rozpoczęciem jakiejkolwiek działalności. Art. 12 </w:t>
      </w:r>
      <w:r w:rsidRPr="00CE7FBA">
        <w:t>ust.</w:t>
      </w:r>
      <w:r w:rsidR="00CE7FBA" w:rsidRPr="00CE7FBA">
        <w:t> </w:t>
      </w:r>
      <w:r w:rsidRPr="00CE7FBA">
        <w:t>1</w:t>
      </w:r>
      <w:r w:rsidRPr="00C755BB">
        <w:t xml:space="preserve"> ustanawia analogiczny wymóg</w:t>
      </w:r>
      <w:r w:rsidR="00CE7FBA" w:rsidRPr="00C755BB">
        <w:t xml:space="preserve"> w</w:t>
      </w:r>
      <w:r w:rsidR="00CE7FBA">
        <w:t> </w:t>
      </w:r>
      <w:r w:rsidR="00CE7FBA" w:rsidRPr="00C755BB">
        <w:t>odn</w:t>
      </w:r>
      <w:r w:rsidRPr="00C755BB">
        <w:t>iesieniu do zarządców infrastruktury, którzy muszą ubiegać się</w:t>
      </w:r>
      <w:r w:rsidR="00CE7FBA" w:rsidRPr="00C755BB">
        <w:t xml:space="preserve"> o</w:t>
      </w:r>
      <w:r w:rsidR="00CE7FBA">
        <w:t> </w:t>
      </w:r>
      <w:r w:rsidR="00CE7FBA" w:rsidRPr="00C755BB">
        <w:t>aut</w:t>
      </w:r>
      <w:r w:rsidRPr="00C755BB">
        <w:t>oryzację</w:t>
      </w:r>
      <w:r w:rsidR="00CE7FBA" w:rsidRPr="00C755BB">
        <w:t xml:space="preserve"> w</w:t>
      </w:r>
      <w:r w:rsidR="00CE7FBA">
        <w:t> </w:t>
      </w:r>
      <w:r w:rsidR="00CE7FBA" w:rsidRPr="00C755BB">
        <w:t>zak</w:t>
      </w:r>
      <w:r w:rsidRPr="00C755BB">
        <w:t>resie bezpieczeństwa</w:t>
      </w:r>
      <w:r w:rsidR="00CE7FBA" w:rsidRPr="00C755BB">
        <w:t>. W</w:t>
      </w:r>
      <w:r w:rsidR="00CE7FBA">
        <w:t> </w:t>
      </w:r>
      <w:r w:rsidR="00CE7FBA" w:rsidRPr="00C755BB">
        <w:t>tym</w:t>
      </w:r>
      <w:r w:rsidRPr="00C755BB">
        <w:t xml:space="preserve"> celu każde przedsiębiorstwo kolejowe</w:t>
      </w:r>
      <w:r w:rsidR="00CE7FBA" w:rsidRPr="00C755BB">
        <w:t xml:space="preserve"> i</w:t>
      </w:r>
      <w:r w:rsidR="00CE7FBA">
        <w:t> </w:t>
      </w:r>
      <w:r w:rsidR="00CE7FBA" w:rsidRPr="00C755BB">
        <w:t>każ</w:t>
      </w:r>
      <w:r w:rsidRPr="00C755BB">
        <w:t>dy zarządca infrastruktury powinien ustanowić system zarządzania bezpieczeństwem.</w:t>
      </w:r>
    </w:p>
    <w:p w:rsidR="00AC5B2D" w:rsidRPr="00C755BB" w:rsidRDefault="00B50A51" w:rsidP="00DF06EF">
      <w:r w:rsidRPr="00C755BB">
        <w:t xml:space="preserve">Art. 6 </w:t>
      </w:r>
      <w:r w:rsidRPr="00CE7FBA">
        <w:t>ust.</w:t>
      </w:r>
      <w:r w:rsidR="00CE7FBA" w:rsidRPr="00CE7FBA">
        <w:t> </w:t>
      </w:r>
      <w:r w:rsidRPr="00CE7FBA">
        <w:t>1</w:t>
      </w:r>
      <w:r w:rsidRPr="00C755BB">
        <w:t xml:space="preserve"> </w:t>
      </w:r>
      <w:r w:rsidRPr="00CE7FBA">
        <w:t>lit.</w:t>
      </w:r>
      <w:r w:rsidR="00CE7FBA" w:rsidRPr="00CE7FBA">
        <w:t> </w:t>
      </w:r>
      <w:r w:rsidRPr="00CE7FBA">
        <w:t>f)</w:t>
      </w:r>
      <w:r w:rsidRPr="00C755BB">
        <w:t xml:space="preserve"> dyrektywy (UE) 2016/798 określa ramy dla ustanawiania wymogów dotyczących systemów zarządzania bezpieczeństwem, które wymagają harmonizacji na szczeblu Unii. Wymogi określone</w:t>
      </w:r>
      <w:r w:rsidR="00CE7FBA" w:rsidRPr="00C755BB">
        <w:t xml:space="preserve"> w</w:t>
      </w:r>
      <w:r w:rsidR="00CE7FBA">
        <w:t> </w:t>
      </w:r>
      <w:r w:rsidR="00CE7FBA" w:rsidRPr="00C755BB">
        <w:t>nin</w:t>
      </w:r>
      <w:r w:rsidRPr="00C755BB">
        <w:t>iejszym rozporządzeniu sformułowano</w:t>
      </w:r>
      <w:r w:rsidR="00CE7FBA" w:rsidRPr="00C755BB">
        <w:t xml:space="preserve"> w</w:t>
      </w:r>
      <w:r w:rsidR="00CE7FBA">
        <w:t> </w:t>
      </w:r>
      <w:r w:rsidR="00CE7FBA" w:rsidRPr="00C755BB">
        <w:t>opa</w:t>
      </w:r>
      <w:r w:rsidRPr="00C755BB">
        <w:t>rciu</w:t>
      </w:r>
      <w:r w:rsidR="00CE7FBA" w:rsidRPr="00C755BB">
        <w:t xml:space="preserve"> o</w:t>
      </w:r>
      <w:r w:rsidR="00CE7FBA">
        <w:t> </w:t>
      </w:r>
      <w:r w:rsidR="00CE7FBA" w:rsidRPr="00C755BB">
        <w:t>ele</w:t>
      </w:r>
      <w:r w:rsidRPr="00C755BB">
        <w:t>menty składowe wymienione</w:t>
      </w:r>
      <w:r w:rsidR="00CE7FBA" w:rsidRPr="00C755BB">
        <w:t xml:space="preserve"> w</w:t>
      </w:r>
      <w:r w:rsidR="00CE7FBA">
        <w:t> </w:t>
      </w:r>
      <w:r w:rsidR="00CE7FBA" w:rsidRPr="00CE7FBA">
        <w:t>art</w:t>
      </w:r>
      <w:r w:rsidRPr="00CE7FBA">
        <w:t>.</w:t>
      </w:r>
      <w:r w:rsidR="00CE7FBA" w:rsidRPr="00CE7FBA">
        <w:t> </w:t>
      </w:r>
      <w:r w:rsidRPr="00CE7FBA">
        <w:t>9</w:t>
      </w:r>
      <w:r w:rsidRPr="00C755BB">
        <w:t>. Organ ds. certyfikacji</w:t>
      </w:r>
      <w:r w:rsidR="00CE7FBA" w:rsidRPr="00C755BB">
        <w:t xml:space="preserve"> w</w:t>
      </w:r>
      <w:r w:rsidR="00CE7FBA">
        <w:t> </w:t>
      </w:r>
      <w:r w:rsidR="00CE7FBA" w:rsidRPr="00C755BB">
        <w:t>zak</w:t>
      </w:r>
      <w:r w:rsidRPr="00C755BB">
        <w:t>resie bezpieczeństwa</w:t>
      </w:r>
      <w:r w:rsidR="00CE7FBA" w:rsidRPr="00C755BB">
        <w:t xml:space="preserve"> i</w:t>
      </w:r>
      <w:r w:rsidR="00CE7FBA">
        <w:t> </w:t>
      </w:r>
      <w:r w:rsidR="00CE7FBA" w:rsidRPr="00C755BB">
        <w:t>kra</w:t>
      </w:r>
      <w:r w:rsidRPr="00C755BB">
        <w:t>jowy organ ds. bezpieczeństwa mogą stosować takie wymogi do celów oceny jakości systemu zarządzania bezpieczeństwem przed wydaniem jednolitego certyfikatu bezpieczeństwa lub autoryzacji</w:t>
      </w:r>
      <w:r w:rsidR="00CE7FBA" w:rsidRPr="00C755BB">
        <w:t xml:space="preserve"> w</w:t>
      </w:r>
      <w:r w:rsidR="00CE7FBA">
        <w:t> </w:t>
      </w:r>
      <w:r w:rsidR="00CE7FBA" w:rsidRPr="00C755BB">
        <w:t>zak</w:t>
      </w:r>
      <w:r w:rsidRPr="00C755BB">
        <w:t>resie bezpieczeństwa oraz na potrzeby prowadzenia działań</w:t>
      </w:r>
      <w:r w:rsidR="00CE7FBA" w:rsidRPr="00C755BB">
        <w:t xml:space="preserve"> w</w:t>
      </w:r>
      <w:r w:rsidR="00CE7FBA">
        <w:t> </w:t>
      </w:r>
      <w:r w:rsidR="00CE7FBA" w:rsidRPr="00C755BB">
        <w:t>zak</w:t>
      </w:r>
      <w:r w:rsidRPr="00C755BB">
        <w:t>resie nadzoru.</w:t>
      </w:r>
    </w:p>
    <w:p w:rsidR="00DF06EF" w:rsidRPr="00C755BB" w:rsidRDefault="00DF06EF" w:rsidP="00DF06EF">
      <w:pPr>
        <w:pStyle w:val="ManualHeading1"/>
      </w:pPr>
      <w:r w:rsidRPr="00C755BB">
        <w:t>2.</w:t>
      </w:r>
      <w:r w:rsidRPr="00C755BB">
        <w:tab/>
        <w:t>KONSULTACJE PRZEPROWADZONE PRZED PRZYJĘCIEM AKTU</w:t>
      </w:r>
    </w:p>
    <w:p w:rsidR="00DF06EF" w:rsidRPr="00C755BB" w:rsidRDefault="00AC5B2D" w:rsidP="00DF06EF">
      <w:pPr>
        <w:rPr>
          <w:noProof/>
        </w:rPr>
      </w:pPr>
      <w:r w:rsidRPr="00C755BB">
        <w:t>Zgodnie</w:t>
      </w:r>
      <w:r w:rsidR="00CE7FBA" w:rsidRPr="00C755BB">
        <w:t xml:space="preserve"> z</w:t>
      </w:r>
      <w:r w:rsidR="00CE7FBA">
        <w:t> </w:t>
      </w:r>
      <w:r w:rsidR="00CE7FBA" w:rsidRPr="00CE7FBA">
        <w:t>art</w:t>
      </w:r>
      <w:r w:rsidRPr="00CE7FBA">
        <w:t>.</w:t>
      </w:r>
      <w:r w:rsidR="00CE7FBA" w:rsidRPr="00CE7FBA">
        <w:t> </w:t>
      </w:r>
      <w:r w:rsidRPr="00CE7FBA">
        <w:t>6</w:t>
      </w:r>
      <w:r w:rsidRPr="00C755BB">
        <w:t xml:space="preserve"> </w:t>
      </w:r>
      <w:r w:rsidRPr="00CE7FBA">
        <w:t>ust.</w:t>
      </w:r>
      <w:r w:rsidR="00CE7FBA" w:rsidRPr="00CE7FBA">
        <w:t> </w:t>
      </w:r>
      <w:r w:rsidRPr="00CE7FBA">
        <w:t>2</w:t>
      </w:r>
      <w:r w:rsidRPr="00C755BB">
        <w:t xml:space="preserve"> dyrektywy (UE) 2016/798 Komisja</w:t>
      </w:r>
      <w:r w:rsidR="00CE7FBA" w:rsidRPr="00C755BB">
        <w:t xml:space="preserve"> w</w:t>
      </w:r>
      <w:r w:rsidR="00CE7FBA">
        <w:t> </w:t>
      </w:r>
      <w:r w:rsidR="00CE7FBA" w:rsidRPr="00C755BB">
        <w:t>dni</w:t>
      </w:r>
      <w:r w:rsidRPr="00C755BB">
        <w:t>u 1 września 20</w:t>
      </w:r>
      <w:r w:rsidRPr="00CE7FBA">
        <w:t>16</w:t>
      </w:r>
      <w:r w:rsidR="00CE7FBA" w:rsidRPr="00CE7FBA">
        <w:t> </w:t>
      </w:r>
      <w:r w:rsidRPr="00CE7FBA">
        <w:t>r.</w:t>
      </w:r>
      <w:r w:rsidRPr="00C755BB">
        <w:t xml:space="preserve"> udzieliła Agencji Kolejowej Unii Europejskiej („Agencja”) upoważnienia do opracowania projektów zmian we wspólnej metodzie oceny bezpieczeństwa</w:t>
      </w:r>
      <w:r w:rsidR="00CE7FBA" w:rsidRPr="00C755BB">
        <w:t xml:space="preserve"> w</w:t>
      </w:r>
      <w:r w:rsidR="00CE7FBA">
        <w:t> </w:t>
      </w:r>
      <w:r w:rsidR="00CE7FBA" w:rsidRPr="00C755BB">
        <w:t>odn</w:t>
      </w:r>
      <w:r w:rsidRPr="00C755BB">
        <w:t>iesieniu do zgodności</w:t>
      </w:r>
      <w:r w:rsidR="00CE7FBA" w:rsidRPr="00C755BB">
        <w:t xml:space="preserve"> z</w:t>
      </w:r>
      <w:r w:rsidR="00CE7FBA">
        <w:t> </w:t>
      </w:r>
      <w:r w:rsidR="00CE7FBA" w:rsidRPr="00C755BB">
        <w:t>wym</w:t>
      </w:r>
      <w:r w:rsidRPr="00C755BB">
        <w:t>ogami dotyczącymi uzyskania kolejowych certyfikatów bezpieczeństwa,</w:t>
      </w:r>
      <w:r w:rsidR="00CE7FBA" w:rsidRPr="00C755BB">
        <w:t xml:space="preserve"> o</w:t>
      </w:r>
      <w:r w:rsidR="00CE7FBA">
        <w:t> </w:t>
      </w:r>
      <w:r w:rsidR="00CE7FBA" w:rsidRPr="00C755BB">
        <w:t>któ</w:t>
      </w:r>
      <w:r w:rsidRPr="00C755BB">
        <w:t>rej mowa</w:t>
      </w:r>
      <w:r w:rsidR="00CE7FBA" w:rsidRPr="00C755BB">
        <w:t xml:space="preserve"> w</w:t>
      </w:r>
      <w:r w:rsidR="00CE7FBA">
        <w:t> </w:t>
      </w:r>
      <w:r w:rsidR="00CE7FBA" w:rsidRPr="00C755BB">
        <w:t>roz</w:t>
      </w:r>
      <w:r w:rsidRPr="00C755BB">
        <w:t xml:space="preserve">porządzeniu Komisji (UE) </w:t>
      </w:r>
      <w:r w:rsidRPr="00CE7FBA">
        <w:t>nr</w:t>
      </w:r>
      <w:r w:rsidR="00CE7FBA" w:rsidRPr="00CE7FBA">
        <w:t> </w:t>
      </w:r>
      <w:r w:rsidRPr="00CE7FBA">
        <w:t>1</w:t>
      </w:r>
      <w:r w:rsidRPr="00C755BB">
        <w:t>158/2010</w:t>
      </w:r>
      <w:r w:rsidR="00CE7FBA" w:rsidRPr="00C755BB">
        <w:t xml:space="preserve"> z</w:t>
      </w:r>
      <w:r w:rsidR="00CE7FBA">
        <w:t> </w:t>
      </w:r>
      <w:r w:rsidR="00CE7FBA" w:rsidRPr="00C755BB">
        <w:t>dni</w:t>
      </w:r>
      <w:r w:rsidRPr="00C755BB">
        <w:t>a 9 grudnia 20</w:t>
      </w:r>
      <w:r w:rsidRPr="00CE7FBA">
        <w:t>10</w:t>
      </w:r>
      <w:r w:rsidR="00CE7FBA" w:rsidRPr="00CE7FBA">
        <w:t> </w:t>
      </w:r>
      <w:r w:rsidRPr="00CE7FBA">
        <w:t>r.</w:t>
      </w:r>
      <w:r w:rsidRPr="00C755BB">
        <w:rPr>
          <w:rStyle w:val="FootnoteReference"/>
        </w:rPr>
        <w:footnoteReference w:id="1"/>
      </w:r>
      <w:r w:rsidRPr="00C755BB">
        <w:t>, we wspólnej metodzie oceny bezpieczeństwa</w:t>
      </w:r>
      <w:r w:rsidR="00CE7FBA" w:rsidRPr="00C755BB">
        <w:t xml:space="preserve"> w</w:t>
      </w:r>
      <w:r w:rsidR="00CE7FBA">
        <w:t> </w:t>
      </w:r>
      <w:r w:rsidR="00CE7FBA" w:rsidRPr="00C755BB">
        <w:t>odn</w:t>
      </w:r>
      <w:r w:rsidRPr="00C755BB">
        <w:t>iesieniu do zgodności</w:t>
      </w:r>
      <w:r w:rsidR="00CE7FBA" w:rsidRPr="00C755BB">
        <w:t xml:space="preserve"> z</w:t>
      </w:r>
      <w:r w:rsidR="00CE7FBA">
        <w:t> </w:t>
      </w:r>
      <w:r w:rsidR="00CE7FBA" w:rsidRPr="00C755BB">
        <w:t>wym</w:t>
      </w:r>
      <w:r w:rsidRPr="00C755BB">
        <w:t>ogami dotyczącymi uzyskania kolejowych autoryzacji</w:t>
      </w:r>
      <w:r w:rsidR="00CE7FBA" w:rsidRPr="00C755BB">
        <w:t xml:space="preserve"> w</w:t>
      </w:r>
      <w:r w:rsidR="00CE7FBA">
        <w:t> </w:t>
      </w:r>
      <w:r w:rsidR="00CE7FBA" w:rsidRPr="00C755BB">
        <w:t>zak</w:t>
      </w:r>
      <w:r w:rsidRPr="00C755BB">
        <w:t>resie bezpieczeństwa,</w:t>
      </w:r>
      <w:r w:rsidR="00CE7FBA" w:rsidRPr="00C755BB">
        <w:t xml:space="preserve"> o</w:t>
      </w:r>
      <w:r w:rsidR="00CE7FBA">
        <w:t> </w:t>
      </w:r>
      <w:r w:rsidR="00CE7FBA" w:rsidRPr="00C755BB">
        <w:t>któ</w:t>
      </w:r>
      <w:r w:rsidRPr="00C755BB">
        <w:t>rej mowa</w:t>
      </w:r>
      <w:r w:rsidR="00CE7FBA" w:rsidRPr="00C755BB">
        <w:t xml:space="preserve"> w</w:t>
      </w:r>
      <w:r w:rsidR="00CE7FBA">
        <w:t> </w:t>
      </w:r>
      <w:r w:rsidR="00CE7FBA" w:rsidRPr="00C755BB">
        <w:t>roz</w:t>
      </w:r>
      <w:r w:rsidRPr="00C755BB">
        <w:t xml:space="preserve">porządzeniu Komisji (UE) </w:t>
      </w:r>
      <w:r w:rsidRPr="00CE7FBA">
        <w:t>nr</w:t>
      </w:r>
      <w:r w:rsidR="00CE7FBA" w:rsidRPr="00CE7FBA">
        <w:t> </w:t>
      </w:r>
      <w:r w:rsidRPr="00CE7FBA">
        <w:t>1</w:t>
      </w:r>
      <w:r w:rsidRPr="00C755BB">
        <w:t>169/2010</w:t>
      </w:r>
      <w:r w:rsidR="00CE7FBA" w:rsidRPr="00C755BB">
        <w:t xml:space="preserve"> z</w:t>
      </w:r>
      <w:r w:rsidR="00CE7FBA">
        <w:t> </w:t>
      </w:r>
      <w:r w:rsidR="00CE7FBA" w:rsidRPr="00C755BB">
        <w:t>dni</w:t>
      </w:r>
      <w:r w:rsidRPr="00C755BB">
        <w:t>a 10 grudnia 20</w:t>
      </w:r>
      <w:r w:rsidRPr="00CE7FBA">
        <w:t>10</w:t>
      </w:r>
      <w:r w:rsidR="00CE7FBA" w:rsidRPr="00CE7FBA">
        <w:t> </w:t>
      </w:r>
      <w:r w:rsidRPr="00CE7FBA">
        <w:t>r.</w:t>
      </w:r>
      <w:r w:rsidRPr="00C755BB">
        <w:rPr>
          <w:rStyle w:val="FootnoteReference"/>
        </w:rPr>
        <w:footnoteReference w:id="2"/>
      </w:r>
      <w:r w:rsidRPr="00C755BB">
        <w:t>, oraz we wspólnej metodzie oceny bezpieczeństwa</w:t>
      </w:r>
      <w:r w:rsidR="00CE7FBA" w:rsidRPr="00C755BB">
        <w:t xml:space="preserve"> w</w:t>
      </w:r>
      <w:r w:rsidR="00CE7FBA">
        <w:t> </w:t>
      </w:r>
      <w:r w:rsidR="00CE7FBA" w:rsidRPr="00C755BB">
        <w:t>odn</w:t>
      </w:r>
      <w:r w:rsidRPr="00C755BB">
        <w:t>iesieniu do nadzoru sprawowanego przez krajowe organy ds. bezpieczeństwa po wydaniu certyfikatu bezpieczeństwa lub autoryzacji bezpieczeństwa,</w:t>
      </w:r>
      <w:r w:rsidR="00CE7FBA" w:rsidRPr="00C755BB">
        <w:t xml:space="preserve"> o</w:t>
      </w:r>
      <w:r w:rsidR="00CE7FBA">
        <w:t> </w:t>
      </w:r>
      <w:r w:rsidR="00CE7FBA" w:rsidRPr="00C755BB">
        <w:t>któ</w:t>
      </w:r>
      <w:r w:rsidRPr="00C755BB">
        <w:t>rej mowa</w:t>
      </w:r>
      <w:r w:rsidR="00CE7FBA" w:rsidRPr="00C755BB">
        <w:t xml:space="preserve"> w</w:t>
      </w:r>
      <w:r w:rsidR="00CE7FBA">
        <w:t> </w:t>
      </w:r>
      <w:r w:rsidR="00CE7FBA" w:rsidRPr="00C755BB">
        <w:t>roz</w:t>
      </w:r>
      <w:r w:rsidRPr="00C755BB">
        <w:t xml:space="preserve">porządzeniu Komisji (UE) </w:t>
      </w:r>
      <w:r w:rsidRPr="00CE7FBA">
        <w:t>nr</w:t>
      </w:r>
      <w:r w:rsidR="00CE7FBA" w:rsidRPr="00CE7FBA">
        <w:t> </w:t>
      </w:r>
      <w:r w:rsidRPr="00CE7FBA">
        <w:t>1</w:t>
      </w:r>
      <w:r w:rsidRPr="00C755BB">
        <w:t>077/2012</w:t>
      </w:r>
      <w:r w:rsidR="00CE7FBA" w:rsidRPr="00C755BB">
        <w:t xml:space="preserve"> z</w:t>
      </w:r>
      <w:r w:rsidR="00CE7FBA">
        <w:t> </w:t>
      </w:r>
      <w:r w:rsidR="00CE7FBA" w:rsidRPr="00C755BB">
        <w:t>dni</w:t>
      </w:r>
      <w:r w:rsidRPr="00C755BB">
        <w:t>a 16 listopada 20</w:t>
      </w:r>
      <w:r w:rsidRPr="00CE7FBA">
        <w:t>12</w:t>
      </w:r>
      <w:r w:rsidR="00CE7FBA" w:rsidRPr="00CE7FBA">
        <w:t> </w:t>
      </w:r>
      <w:r w:rsidRPr="00CE7FBA">
        <w:t>r.</w:t>
      </w:r>
      <w:r w:rsidRPr="00C755BB">
        <w:rPr>
          <w:rStyle w:val="FootnoteReference"/>
        </w:rPr>
        <w:footnoteReference w:id="3"/>
      </w:r>
      <w:r w:rsidRPr="00C755BB">
        <w:t>. Zgodnie</w:t>
      </w:r>
      <w:r w:rsidR="00CE7FBA" w:rsidRPr="00C755BB">
        <w:t xml:space="preserve"> z</w:t>
      </w:r>
      <w:r w:rsidR="00CE7FBA">
        <w:t> </w:t>
      </w:r>
      <w:r w:rsidR="00CE7FBA" w:rsidRPr="00C755BB">
        <w:t>udz</w:t>
      </w:r>
      <w:r w:rsidRPr="00C755BB">
        <w:t>ielonym przez Komisję upoważnieniem</w:t>
      </w:r>
      <w:r w:rsidR="00CE7FBA" w:rsidRPr="00C755BB">
        <w:t xml:space="preserve"> w</w:t>
      </w:r>
      <w:r w:rsidR="00CE7FBA">
        <w:t> </w:t>
      </w:r>
      <w:r w:rsidR="00CE7FBA" w:rsidRPr="00C755BB">
        <w:t>dni</w:t>
      </w:r>
      <w:r w:rsidRPr="00C755BB">
        <w:t>u 9 marca 20</w:t>
      </w:r>
      <w:r w:rsidRPr="00CE7FBA">
        <w:t>17</w:t>
      </w:r>
      <w:r w:rsidR="00CE7FBA" w:rsidRPr="00CE7FBA">
        <w:t> </w:t>
      </w:r>
      <w:r w:rsidRPr="00CE7FBA">
        <w:t>r.</w:t>
      </w:r>
      <w:r w:rsidRPr="00C755BB">
        <w:t xml:space="preserve"> Agencja przedłożyła Komisji swoje zalecenie dotyczące zmian we wspólnych metodach oceny bezpieczeństwa, poparte sprawozdaniem</w:t>
      </w:r>
      <w:r w:rsidR="00CE7FBA" w:rsidRPr="00C755BB">
        <w:t xml:space="preserve"> z</w:t>
      </w:r>
      <w:r w:rsidR="00CE7FBA">
        <w:t> </w:t>
      </w:r>
      <w:r w:rsidR="00CE7FBA" w:rsidRPr="00C755BB">
        <w:t>oce</w:t>
      </w:r>
      <w:r w:rsidRPr="00C755BB">
        <w:t>ny skutków. Pierwsza wersja niniejszego rozporządzenia opierała się na zaleceniu Agencji.</w:t>
      </w:r>
    </w:p>
    <w:p w:rsidR="00CD38E2" w:rsidRPr="00C755BB" w:rsidRDefault="00CD38E2" w:rsidP="00CD38E2">
      <w:r w:rsidRPr="00C755BB">
        <w:t>W dniu 12 kwietnia 20</w:t>
      </w:r>
      <w:r w:rsidRPr="00CE7FBA">
        <w:t>17</w:t>
      </w:r>
      <w:r w:rsidR="00CE7FBA" w:rsidRPr="00CE7FBA">
        <w:t> </w:t>
      </w:r>
      <w:r w:rsidRPr="00CE7FBA">
        <w:t>r.</w:t>
      </w:r>
      <w:r w:rsidRPr="00C755BB">
        <w:t xml:space="preserve"> przeprowadzono konsultacje na temat zalecenia Agencji</w:t>
      </w:r>
      <w:r w:rsidR="00CE7FBA" w:rsidRPr="00C755BB">
        <w:t xml:space="preserve"> z</w:t>
      </w:r>
      <w:r w:rsidR="00CE7FBA">
        <w:t> </w:t>
      </w:r>
      <w:r w:rsidR="00CE7FBA" w:rsidRPr="00C755BB">
        <w:t>dzi</w:t>
      </w:r>
      <w:r w:rsidRPr="00C755BB">
        <w:t>ałającą przy Komisji grupą ekspertów ds. technicznego filaru czwartego pakietu kolejowego,</w:t>
      </w:r>
      <w:r w:rsidR="00CE7FBA" w:rsidRPr="00C755BB">
        <w:t xml:space="preserve"> a</w:t>
      </w:r>
      <w:r w:rsidR="00CE7FBA">
        <w:t> </w:t>
      </w:r>
      <w:r w:rsidR="00CE7FBA" w:rsidRPr="00C755BB">
        <w:t>pro</w:t>
      </w:r>
      <w:r w:rsidRPr="00C755BB">
        <w:t>jekt wniosku Komisji przedstawiono dnia 5 lipca 20</w:t>
      </w:r>
      <w:r w:rsidRPr="00CE7FBA">
        <w:t>17</w:t>
      </w:r>
      <w:r w:rsidR="00CE7FBA" w:rsidRPr="00CE7FBA">
        <w:t> </w:t>
      </w:r>
      <w:r w:rsidRPr="00CE7FBA">
        <w:t>r.</w:t>
      </w:r>
    </w:p>
    <w:p w:rsidR="00CD38E2" w:rsidRPr="00C755BB" w:rsidRDefault="00CD38E2" w:rsidP="00CD38E2">
      <w:r w:rsidRPr="00C755BB">
        <w:t xml:space="preserve">Konsultacje publiczne trwały </w:t>
      </w:r>
      <w:r w:rsidRPr="00CE7FBA">
        <w:t>od</w:t>
      </w:r>
      <w:r w:rsidR="00CE7FBA" w:rsidRPr="00CE7FBA">
        <w:t> </w:t>
      </w:r>
      <w:r w:rsidRPr="00CE7FBA">
        <w:t>2</w:t>
      </w:r>
      <w:r w:rsidRPr="00C755BB">
        <w:t xml:space="preserve">4 sierpnia </w:t>
      </w:r>
      <w:r w:rsidRPr="00CE7FBA">
        <w:t>do</w:t>
      </w:r>
      <w:r w:rsidR="00CE7FBA" w:rsidRPr="00CE7FBA">
        <w:t> </w:t>
      </w:r>
      <w:r w:rsidRPr="00CE7FBA">
        <w:t>2</w:t>
      </w:r>
      <w:r w:rsidRPr="00C755BB">
        <w:t>1 września 20</w:t>
      </w:r>
      <w:r w:rsidRPr="00CE7FBA">
        <w:t>17</w:t>
      </w:r>
      <w:r w:rsidR="00CE7FBA" w:rsidRPr="00CE7FBA">
        <w:t> </w:t>
      </w:r>
      <w:r w:rsidRPr="00CE7FBA">
        <w:t>r.</w:t>
      </w:r>
      <w:r w:rsidRPr="00C755BB">
        <w:t xml:space="preserve"> (nr ref: Ares(2017)4156968)</w:t>
      </w:r>
      <w:r w:rsidR="00CE7FBA" w:rsidRPr="00C755BB">
        <w:t>. W</w:t>
      </w:r>
      <w:r w:rsidR="00CE7FBA">
        <w:t> </w:t>
      </w:r>
      <w:r w:rsidR="00CE7FBA" w:rsidRPr="00C755BB">
        <w:t>now</w:t>
      </w:r>
      <w:r w:rsidRPr="00C755BB">
        <w:t>ej wersji projektu wniosku uwzględniono niektóre</w:t>
      </w:r>
      <w:r w:rsidR="00CE7FBA" w:rsidRPr="00C755BB">
        <w:t xml:space="preserve"> z</w:t>
      </w:r>
      <w:r w:rsidR="00CE7FBA">
        <w:t> </w:t>
      </w:r>
      <w:r w:rsidR="00CE7FBA" w:rsidRPr="00C755BB">
        <w:t>prz</w:t>
      </w:r>
      <w:r w:rsidRPr="00C755BB">
        <w:t>ekazanych uwag.</w:t>
      </w:r>
    </w:p>
    <w:p w:rsidR="00DF06EF" w:rsidRPr="00C755BB" w:rsidRDefault="00DF06EF" w:rsidP="00DF06EF">
      <w:pPr>
        <w:pStyle w:val="ManualHeading1"/>
      </w:pPr>
      <w:r w:rsidRPr="00C755BB">
        <w:t>3.</w:t>
      </w:r>
      <w:r w:rsidRPr="00C755BB">
        <w:tab/>
        <w:t>ASPEKTY PRAWNE AKTU DELEGOWANEGO</w:t>
      </w:r>
    </w:p>
    <w:p w:rsidR="00DF06EF" w:rsidRPr="00C755BB" w:rsidRDefault="009124A4" w:rsidP="00DF06EF">
      <w:r w:rsidRPr="00C755BB">
        <w:t>Niniejsze rozporządzenie ustanawia wspólną metodę oceny bezpieczeństwa</w:t>
      </w:r>
      <w:r w:rsidR="00CE7FBA" w:rsidRPr="00C755BB">
        <w:t xml:space="preserve"> w</w:t>
      </w:r>
      <w:r w:rsidR="00CE7FBA">
        <w:t> </w:t>
      </w:r>
      <w:r w:rsidR="00CE7FBA" w:rsidRPr="00C755BB">
        <w:t>odn</w:t>
      </w:r>
      <w:r w:rsidRPr="00C755BB">
        <w:t>iesieniu do wymogów dotyczących systemu zarządzania bezpieczeństwem. Treść przepisów opiera się na wymogu określonym</w:t>
      </w:r>
      <w:r w:rsidR="00CE7FBA" w:rsidRPr="00C755BB">
        <w:t xml:space="preserve"> w</w:t>
      </w:r>
      <w:r w:rsidR="00CE7FBA">
        <w:t> </w:t>
      </w:r>
      <w:r w:rsidR="00CE7FBA" w:rsidRPr="00CE7FBA">
        <w:t>art</w:t>
      </w:r>
      <w:r w:rsidRPr="00CE7FBA">
        <w:t>.</w:t>
      </w:r>
      <w:r w:rsidR="00CE7FBA" w:rsidRPr="00CE7FBA">
        <w:t> </w:t>
      </w:r>
      <w:r w:rsidRPr="00CE7FBA">
        <w:t>9</w:t>
      </w:r>
      <w:r w:rsidRPr="00C755BB">
        <w:t xml:space="preserve"> dyrektywy (UE) 2016/798,</w:t>
      </w:r>
      <w:r w:rsidR="00CE7FBA" w:rsidRPr="00C755BB">
        <w:t xml:space="preserve"> a</w:t>
      </w:r>
      <w:r w:rsidR="00CE7FBA">
        <w:t> </w:t>
      </w:r>
      <w:r w:rsidR="00CE7FBA" w:rsidRPr="00C755BB">
        <w:t>pod</w:t>
      </w:r>
      <w:r w:rsidRPr="00C755BB">
        <w:t xml:space="preserve">stawę prawną stanowi </w:t>
      </w:r>
      <w:r w:rsidRPr="00CE7FBA">
        <w:t>art.</w:t>
      </w:r>
      <w:r w:rsidR="00CE7FBA" w:rsidRPr="00CE7FBA">
        <w:t> </w:t>
      </w:r>
      <w:r w:rsidRPr="00CE7FBA">
        <w:t>6</w:t>
      </w:r>
      <w:r w:rsidRPr="00C755BB">
        <w:t xml:space="preserve"> </w:t>
      </w:r>
      <w:r w:rsidRPr="00CE7FBA">
        <w:t>ust.</w:t>
      </w:r>
      <w:r w:rsidR="00CE7FBA" w:rsidRPr="00CE7FBA">
        <w:t> </w:t>
      </w:r>
      <w:r w:rsidRPr="00CE7FBA">
        <w:t>1</w:t>
      </w:r>
      <w:r w:rsidRPr="00C755BB">
        <w:t xml:space="preserve"> </w:t>
      </w:r>
      <w:r w:rsidRPr="00CE7FBA">
        <w:t>lit.</w:t>
      </w:r>
      <w:r w:rsidR="00CE7FBA" w:rsidRPr="00CE7FBA">
        <w:t> </w:t>
      </w:r>
      <w:r w:rsidRPr="00CE7FBA">
        <w:t>f)</w:t>
      </w:r>
      <w:r w:rsidRPr="00C755BB">
        <w:t xml:space="preserve"> tej dyrektywy.</w:t>
      </w:r>
    </w:p>
    <w:p w:rsidR="00DF06EF" w:rsidRPr="00C755BB" w:rsidRDefault="00DF06EF" w:rsidP="00DF06EF">
      <w:pPr>
        <w:sectPr w:rsidR="00DF06EF" w:rsidRPr="00C755BB" w:rsidSect="00CE7FBA">
          <w:footerReference w:type="default" r:id="rId16"/>
          <w:footerReference w:type="first" r:id="rId17"/>
          <w:pgSz w:w="11907" w:h="16839"/>
          <w:pgMar w:top="1134" w:right="1417" w:bottom="1134" w:left="1417" w:header="709" w:footer="709" w:gutter="0"/>
          <w:cols w:space="708"/>
          <w:docGrid w:linePitch="360"/>
        </w:sectPr>
      </w:pPr>
    </w:p>
    <w:p w:rsidR="00912B9A" w:rsidRPr="00C755BB" w:rsidRDefault="00CE7FBA" w:rsidP="00CE7FBA">
      <w:pPr>
        <w:pStyle w:val="Typedudocument"/>
        <w:rPr>
          <w:noProof/>
        </w:rPr>
      </w:pPr>
      <w:r w:rsidRPr="00CE7FBA">
        <w:t>ROZPORZĄDZENIE DELEGOWANE KOMISJI (UE) …/…</w:t>
      </w:r>
    </w:p>
    <w:p w:rsidR="00912B9A" w:rsidRPr="00C755BB" w:rsidRDefault="00CE7FBA" w:rsidP="00CE7FBA">
      <w:pPr>
        <w:pStyle w:val="Datedadoption"/>
        <w:rPr>
          <w:noProof/>
        </w:rPr>
      </w:pPr>
      <w:r w:rsidRPr="00CE7FBA">
        <w:t xml:space="preserve">z dnia </w:t>
      </w:r>
      <w:r w:rsidRPr="00CE7FBA">
        <w:rPr>
          <w:rStyle w:val="Marker2"/>
        </w:rPr>
        <w:t>XXX</w:t>
      </w:r>
      <w:r w:rsidRPr="00CE7FBA">
        <w:t xml:space="preserve"> r.</w:t>
      </w:r>
    </w:p>
    <w:p w:rsidR="00545AB2" w:rsidRPr="00C755BB" w:rsidRDefault="00CE7FBA" w:rsidP="00CE7FBA">
      <w:pPr>
        <w:pStyle w:val="Titreobjet"/>
      </w:pPr>
      <w:r w:rsidRPr="00CE7FBA">
        <w:t>ustanawiające wspólne metody oceny bezpieczeństwa w odniesieniu do wymogów dotyczących systemu zarządzania bezpieczeństwem na podstawie dyrektywy Parlamentu Europejskiego i Rady (UE) 2016/798 oraz uchylające rozporządzenia Komisji (UE) nr 1158/2010 i (UE) nr 1169/2010</w:t>
      </w:r>
    </w:p>
    <w:p w:rsidR="00912B9A" w:rsidRPr="00C755BB" w:rsidRDefault="00CE7FBA" w:rsidP="00CE7FBA">
      <w:pPr>
        <w:pStyle w:val="IntrtEEE"/>
        <w:rPr>
          <w:noProof/>
        </w:rPr>
      </w:pPr>
      <w:r w:rsidRPr="00CE7FBA">
        <w:t>(Tekst mający znaczenie dla EOG)</w:t>
      </w:r>
    </w:p>
    <w:p w:rsidR="00912B9A" w:rsidRPr="00C755BB" w:rsidRDefault="00912B9A">
      <w:pPr>
        <w:pStyle w:val="Institutionquiagit"/>
        <w:rPr>
          <w:noProof/>
        </w:rPr>
      </w:pPr>
      <w:r w:rsidRPr="00C755BB">
        <w:t>KOMISJA EUROPEJSKA,</w:t>
      </w:r>
    </w:p>
    <w:p w:rsidR="00912B9A" w:rsidRPr="00C755BB" w:rsidRDefault="00912B9A">
      <w:pPr>
        <w:rPr>
          <w:noProof/>
        </w:rPr>
      </w:pPr>
      <w:r w:rsidRPr="00C755BB">
        <w:t>uwzględniając Traktat</w:t>
      </w:r>
      <w:r w:rsidR="00CE7FBA" w:rsidRPr="00C755BB">
        <w:t xml:space="preserve"> o</w:t>
      </w:r>
      <w:r w:rsidR="00CE7FBA">
        <w:t> </w:t>
      </w:r>
      <w:r w:rsidR="00CE7FBA" w:rsidRPr="00C755BB">
        <w:t>fun</w:t>
      </w:r>
      <w:r w:rsidRPr="00C755BB">
        <w:t>kcjonowaniu Unii Europejskiej,</w:t>
      </w:r>
    </w:p>
    <w:p w:rsidR="00912B9A" w:rsidRPr="00C755BB" w:rsidRDefault="00912B9A">
      <w:pPr>
        <w:rPr>
          <w:noProof/>
        </w:rPr>
      </w:pPr>
      <w:r w:rsidRPr="00C755BB">
        <w:t>uwzględniając dyrektywę Parlamentu Europejskiego</w:t>
      </w:r>
      <w:r w:rsidR="00CE7FBA" w:rsidRPr="00C755BB">
        <w:t xml:space="preserve"> i</w:t>
      </w:r>
      <w:r w:rsidR="00CE7FBA">
        <w:t> </w:t>
      </w:r>
      <w:r w:rsidR="00CE7FBA" w:rsidRPr="00C755BB">
        <w:t>Rad</w:t>
      </w:r>
      <w:r w:rsidRPr="00C755BB">
        <w:t>y (UE) 2016/798</w:t>
      </w:r>
      <w:r w:rsidR="00CE7FBA" w:rsidRPr="00C755BB">
        <w:t xml:space="preserve"> z</w:t>
      </w:r>
      <w:r w:rsidR="00CE7FBA">
        <w:t> </w:t>
      </w:r>
      <w:r w:rsidR="00CE7FBA" w:rsidRPr="00C755BB">
        <w:t>dni</w:t>
      </w:r>
      <w:r w:rsidRPr="00C755BB">
        <w:t>a 11 maja 20</w:t>
      </w:r>
      <w:r w:rsidRPr="00CE7FBA">
        <w:t>16</w:t>
      </w:r>
      <w:r w:rsidR="00CE7FBA" w:rsidRPr="00CE7FBA">
        <w:t> </w:t>
      </w:r>
      <w:r w:rsidRPr="00CE7FBA">
        <w:t>r.</w:t>
      </w:r>
      <w:r w:rsidR="00CE7FBA" w:rsidRPr="00C755BB">
        <w:t xml:space="preserve"> w</w:t>
      </w:r>
      <w:r w:rsidR="00CE7FBA">
        <w:t> </w:t>
      </w:r>
      <w:r w:rsidR="00CE7FBA" w:rsidRPr="00C755BB">
        <w:t>spr</w:t>
      </w:r>
      <w:r w:rsidRPr="00C755BB">
        <w:t>awie bezpieczeństwa kolei</w:t>
      </w:r>
      <w:r w:rsidRPr="00C755BB">
        <w:rPr>
          <w:rStyle w:val="FootnoteReference"/>
          <w:noProof/>
        </w:rPr>
        <w:footnoteReference w:id="4"/>
      </w:r>
      <w:r w:rsidRPr="00C755BB">
        <w:t>,</w:t>
      </w:r>
      <w:r w:rsidR="00CE7FBA" w:rsidRPr="00C755BB">
        <w:t xml:space="preserve"> w</w:t>
      </w:r>
      <w:r w:rsidR="00CE7FBA">
        <w:t> </w:t>
      </w:r>
      <w:r w:rsidR="00CE7FBA" w:rsidRPr="00C755BB">
        <w:t>szc</w:t>
      </w:r>
      <w:r w:rsidRPr="00C755BB">
        <w:t xml:space="preserve">zególności jej </w:t>
      </w:r>
      <w:r w:rsidRPr="00CE7FBA">
        <w:t>art.</w:t>
      </w:r>
      <w:r w:rsidR="00CE7FBA" w:rsidRPr="00CE7FBA">
        <w:t> </w:t>
      </w:r>
      <w:r w:rsidRPr="00CE7FBA">
        <w:t>6</w:t>
      </w:r>
      <w:r w:rsidRPr="00C755BB">
        <w:t xml:space="preserve"> </w:t>
      </w:r>
      <w:r w:rsidRPr="00CE7FBA">
        <w:t>ust.</w:t>
      </w:r>
      <w:r w:rsidR="00CE7FBA" w:rsidRPr="00CE7FBA">
        <w:t> </w:t>
      </w:r>
      <w:r w:rsidRPr="00CE7FBA">
        <w:t>6</w:t>
      </w:r>
      <w:r w:rsidRPr="00C755BB">
        <w:t>,</w:t>
      </w:r>
    </w:p>
    <w:p w:rsidR="00AB03B5" w:rsidRPr="00C755BB" w:rsidRDefault="00DA19DE">
      <w:pPr>
        <w:rPr>
          <w:noProof/>
        </w:rPr>
      </w:pPr>
      <w:r w:rsidRPr="00C755BB">
        <w:t>uwzględniając zalecenie Agencji Kolejowej Unii Europejskiej ERA-REC-115-REC</w:t>
      </w:r>
      <w:r w:rsidR="00CE7FBA" w:rsidRPr="00C755BB">
        <w:t xml:space="preserve"> w</w:t>
      </w:r>
      <w:r w:rsidR="00CE7FBA">
        <w:t> </w:t>
      </w:r>
      <w:r w:rsidR="00CE7FBA" w:rsidRPr="00C755BB">
        <w:t>spr</w:t>
      </w:r>
      <w:r w:rsidRPr="00C755BB">
        <w:t>awie zmian we wspólnych metodach oceny bezpieczeństwa</w:t>
      </w:r>
      <w:r w:rsidR="00CE7FBA" w:rsidRPr="00C755BB">
        <w:t xml:space="preserve"> w</w:t>
      </w:r>
      <w:r w:rsidR="00CE7FBA">
        <w:t> </w:t>
      </w:r>
      <w:r w:rsidR="00CE7FBA" w:rsidRPr="00C755BB">
        <w:t>odn</w:t>
      </w:r>
      <w:r w:rsidRPr="00C755BB">
        <w:t>iesieniu do oceny zgodności oraz we wspólnej metodzie oceny bezpieczeństwa</w:t>
      </w:r>
      <w:r w:rsidR="00CE7FBA" w:rsidRPr="00C755BB">
        <w:t xml:space="preserve"> w</w:t>
      </w:r>
      <w:r w:rsidR="00CE7FBA">
        <w:t> </w:t>
      </w:r>
      <w:r w:rsidR="00CE7FBA" w:rsidRPr="00C755BB">
        <w:t>odn</w:t>
      </w:r>
      <w:r w:rsidRPr="00C755BB">
        <w:t>iesieniu do nadzoru, przekazane Komisji dnia 9 marca 20</w:t>
      </w:r>
      <w:r w:rsidRPr="00CE7FBA">
        <w:t>17</w:t>
      </w:r>
      <w:r w:rsidR="00CE7FBA" w:rsidRPr="00CE7FBA">
        <w:t> </w:t>
      </w:r>
      <w:r w:rsidRPr="00CE7FBA">
        <w:t>r.</w:t>
      </w:r>
      <w:r w:rsidRPr="00C755BB">
        <w:t>,</w:t>
      </w:r>
    </w:p>
    <w:p w:rsidR="00912B9A" w:rsidRPr="00C755BB" w:rsidRDefault="00912B9A">
      <w:pPr>
        <w:rPr>
          <w:noProof/>
        </w:rPr>
      </w:pPr>
      <w:r w:rsidRPr="00C755BB">
        <w:t>a także mając na uwadze, co następuje:</w:t>
      </w:r>
    </w:p>
    <w:p w:rsidR="00912B9A" w:rsidRPr="00C755BB" w:rsidRDefault="00912B9A" w:rsidP="005403CA">
      <w:pPr>
        <w:pStyle w:val="Considrant"/>
        <w:numPr>
          <w:ilvl w:val="0"/>
          <w:numId w:val="10"/>
        </w:numPr>
        <w:rPr>
          <w:noProof/>
        </w:rPr>
      </w:pPr>
      <w:r w:rsidRPr="00C755BB">
        <w:t>Wspólne metody oceny bezpieczeństwa (CSM) określają, jak należy oceniać poziomy bezpieczeństwa</w:t>
      </w:r>
      <w:r w:rsidR="00CE7FBA" w:rsidRPr="00C755BB">
        <w:t xml:space="preserve"> i</w:t>
      </w:r>
      <w:r w:rsidR="00CE7FBA">
        <w:t> </w:t>
      </w:r>
      <w:r w:rsidR="00CE7FBA" w:rsidRPr="00C755BB">
        <w:t>osi</w:t>
      </w:r>
      <w:r w:rsidRPr="00C755BB">
        <w:t>ąganie wymagań bezpieczeństwa oraz zgodność</w:t>
      </w:r>
      <w:r w:rsidR="00CE7FBA" w:rsidRPr="00C755BB">
        <w:t xml:space="preserve"> z</w:t>
      </w:r>
      <w:r w:rsidR="00CE7FBA">
        <w:t> </w:t>
      </w:r>
      <w:r w:rsidR="00CE7FBA" w:rsidRPr="00C755BB">
        <w:t>inn</w:t>
      </w:r>
      <w:r w:rsidRPr="00C755BB">
        <w:t>ymi wymaganiami dotyczącymi bezpieczeństwa.</w:t>
      </w:r>
    </w:p>
    <w:p w:rsidR="00912B9A" w:rsidRPr="00C755BB" w:rsidRDefault="00EE4169" w:rsidP="00EE4169">
      <w:pPr>
        <w:pStyle w:val="Considrant"/>
        <w:rPr>
          <w:noProof/>
        </w:rPr>
      </w:pPr>
      <w:r w:rsidRPr="00C755BB">
        <w:t>Zgodnie</w:t>
      </w:r>
      <w:r w:rsidR="00CE7FBA" w:rsidRPr="00C755BB">
        <w:t xml:space="preserve"> z</w:t>
      </w:r>
      <w:r w:rsidR="00CE7FBA">
        <w:t> </w:t>
      </w:r>
      <w:r w:rsidR="00CE7FBA" w:rsidRPr="00CE7FBA">
        <w:t>art</w:t>
      </w:r>
      <w:r w:rsidRPr="00CE7FBA">
        <w:t>.</w:t>
      </w:r>
      <w:r w:rsidR="00CE7FBA" w:rsidRPr="00CE7FBA">
        <w:t> </w:t>
      </w:r>
      <w:r w:rsidRPr="00CE7FBA">
        <w:t>6</w:t>
      </w:r>
      <w:r w:rsidRPr="00C755BB">
        <w:t xml:space="preserve"> </w:t>
      </w:r>
      <w:r w:rsidRPr="00CE7FBA">
        <w:t>ust.</w:t>
      </w:r>
      <w:r w:rsidR="00CE7FBA" w:rsidRPr="00CE7FBA">
        <w:t> </w:t>
      </w:r>
      <w:r w:rsidRPr="00CE7FBA">
        <w:t>5</w:t>
      </w:r>
      <w:r w:rsidRPr="00C755BB">
        <w:t xml:space="preserve"> dyrektywy (UE) 2016/798 CSM należy regularnie aktualizować</w:t>
      </w:r>
      <w:r w:rsidR="00CE7FBA" w:rsidRPr="00C755BB">
        <w:t xml:space="preserve"> z</w:t>
      </w:r>
      <w:r w:rsidR="00CE7FBA">
        <w:t> </w:t>
      </w:r>
      <w:r w:rsidR="00CE7FBA" w:rsidRPr="00C755BB">
        <w:t>uwz</w:t>
      </w:r>
      <w:r w:rsidRPr="00C755BB">
        <w:t>ględnieniem doświadczeń zebranych przy ich stosowaniu oraz globalnego rozwoju bezpieczeństwa kolei,</w:t>
      </w:r>
      <w:r w:rsidR="00CE7FBA" w:rsidRPr="00C755BB">
        <w:t xml:space="preserve"> a</w:t>
      </w:r>
      <w:r w:rsidR="00CE7FBA">
        <w:t> </w:t>
      </w:r>
      <w:r w:rsidR="00CE7FBA" w:rsidRPr="00C755BB">
        <w:t>tak</w:t>
      </w:r>
      <w:r w:rsidRPr="00C755BB">
        <w:t>że</w:t>
      </w:r>
      <w:r w:rsidR="00CE7FBA" w:rsidRPr="00C755BB">
        <w:t xml:space="preserve"> w</w:t>
      </w:r>
      <w:r w:rsidR="00CE7FBA">
        <w:t> </w:t>
      </w:r>
      <w:r w:rsidR="00CE7FBA" w:rsidRPr="00C755BB">
        <w:t>cel</w:t>
      </w:r>
      <w:r w:rsidRPr="00C755BB">
        <w:t>u ogólnego utrzymania poziomu bezpieczeństwa i – gdy jest to wykonalne</w:t>
      </w:r>
      <w:r w:rsidR="00CE7FBA" w:rsidRPr="00C755BB">
        <w:t xml:space="preserve"> w</w:t>
      </w:r>
      <w:r w:rsidR="00CE7FBA">
        <w:t> </w:t>
      </w:r>
      <w:r w:rsidR="00CE7FBA" w:rsidRPr="00C755BB">
        <w:t>spo</w:t>
      </w:r>
      <w:r w:rsidRPr="00C755BB">
        <w:t>sób rozsądny – jego ciągłej poprawy.</w:t>
      </w:r>
    </w:p>
    <w:p w:rsidR="00CE2F30" w:rsidRPr="00C755BB" w:rsidRDefault="008E516B" w:rsidP="00CE2F30">
      <w:pPr>
        <w:pStyle w:val="Considrant"/>
        <w:rPr>
          <w:noProof/>
        </w:rPr>
      </w:pPr>
      <w:r w:rsidRPr="00C755BB">
        <w:t>Na mocy decyzji wykonawczej</w:t>
      </w:r>
      <w:r w:rsidR="00CE7FBA" w:rsidRPr="00C755BB">
        <w:t xml:space="preserve"> z</w:t>
      </w:r>
      <w:r w:rsidR="00CE7FBA">
        <w:t> </w:t>
      </w:r>
      <w:r w:rsidR="00CE7FBA" w:rsidRPr="00C755BB">
        <w:t>dni</w:t>
      </w:r>
      <w:r w:rsidRPr="00C755BB">
        <w:t>a 1 września 20</w:t>
      </w:r>
      <w:r w:rsidRPr="00CE7FBA">
        <w:t>16</w:t>
      </w:r>
      <w:r w:rsidR="00CE7FBA" w:rsidRPr="00CE7FBA">
        <w:t> </w:t>
      </w:r>
      <w:r w:rsidRPr="00CE7FBA">
        <w:t>r.</w:t>
      </w:r>
      <w:r w:rsidRPr="00C755BB">
        <w:rPr>
          <w:rStyle w:val="FootnoteReference"/>
        </w:rPr>
        <w:footnoteReference w:id="5"/>
      </w:r>
      <w:r w:rsidR="00CE7FBA" w:rsidRPr="00C755BB">
        <w:t xml:space="preserve"> i</w:t>
      </w:r>
      <w:r w:rsidR="00CE7FBA">
        <w:t> </w:t>
      </w:r>
      <w:r w:rsidR="00CE7FBA" w:rsidRPr="00C755BB">
        <w:t>zgo</w:t>
      </w:r>
      <w:r w:rsidRPr="00C755BB">
        <w:t>dnie</w:t>
      </w:r>
      <w:r w:rsidR="00CE7FBA" w:rsidRPr="00C755BB">
        <w:t xml:space="preserve"> z</w:t>
      </w:r>
      <w:r w:rsidR="00CE7FBA">
        <w:t> </w:t>
      </w:r>
      <w:r w:rsidR="00CE7FBA" w:rsidRPr="00CE7FBA">
        <w:t>art</w:t>
      </w:r>
      <w:r w:rsidRPr="00CE7FBA">
        <w:t>.</w:t>
      </w:r>
      <w:r w:rsidR="00CE7FBA" w:rsidRPr="00CE7FBA">
        <w:t> </w:t>
      </w:r>
      <w:r w:rsidRPr="00CE7FBA">
        <w:t>6</w:t>
      </w:r>
      <w:r w:rsidRPr="00C755BB">
        <w:t xml:space="preserve"> </w:t>
      </w:r>
      <w:r w:rsidRPr="00CE7FBA">
        <w:t>ust.</w:t>
      </w:r>
      <w:r w:rsidR="00CE7FBA" w:rsidRPr="00CE7FBA">
        <w:t> </w:t>
      </w:r>
      <w:r w:rsidRPr="00CE7FBA">
        <w:t>2</w:t>
      </w:r>
      <w:r w:rsidRPr="00C755BB">
        <w:t xml:space="preserve"> dyrektywy (UE) 2016/798 Komisja udzieliła Agencji Kolejowej Unii Europejskiej („Agencja”) upoważnienia do opracowania projektów zmian</w:t>
      </w:r>
      <w:r w:rsidR="00CE7FBA" w:rsidRPr="00C755BB">
        <w:t xml:space="preserve"> w</w:t>
      </w:r>
      <w:r w:rsidR="00CE7FBA">
        <w:t> </w:t>
      </w:r>
      <w:r w:rsidR="00CE7FBA" w:rsidRPr="00C755BB">
        <w:t>roz</w:t>
      </w:r>
      <w:r w:rsidRPr="00C755BB">
        <w:t>porządzeniach Komisji (UE) nr 1158/2010</w:t>
      </w:r>
      <w:r w:rsidRPr="00C755BB">
        <w:rPr>
          <w:rStyle w:val="FootnoteReference"/>
          <w:noProof/>
        </w:rPr>
        <w:footnoteReference w:id="6"/>
      </w:r>
      <w:r w:rsidRPr="00C755BB">
        <w:t xml:space="preserve">, (UE) </w:t>
      </w:r>
      <w:r w:rsidRPr="00CE7FBA">
        <w:t>nr</w:t>
      </w:r>
      <w:r w:rsidR="00CE7FBA" w:rsidRPr="00CE7FBA">
        <w:t> </w:t>
      </w:r>
      <w:r w:rsidRPr="00CE7FBA">
        <w:t>1</w:t>
      </w:r>
      <w:r w:rsidRPr="00C755BB">
        <w:t>169/2010</w:t>
      </w:r>
      <w:r w:rsidRPr="00C755BB">
        <w:rPr>
          <w:rStyle w:val="FootnoteReference"/>
          <w:noProof/>
        </w:rPr>
        <w:footnoteReference w:id="7"/>
      </w:r>
      <w:r w:rsidRPr="00C755BB">
        <w:t xml:space="preserve"> i (UE) </w:t>
      </w:r>
      <w:r w:rsidRPr="00CE7FBA">
        <w:t>nr</w:t>
      </w:r>
      <w:r w:rsidR="00CE7FBA" w:rsidRPr="00CE7FBA">
        <w:t> </w:t>
      </w:r>
      <w:r w:rsidRPr="00CE7FBA">
        <w:t>1</w:t>
      </w:r>
      <w:r w:rsidRPr="00C755BB">
        <w:t>077/2012</w:t>
      </w:r>
      <w:r w:rsidRPr="00C755BB">
        <w:rPr>
          <w:rStyle w:val="FootnoteReference"/>
          <w:noProof/>
        </w:rPr>
        <w:footnoteReference w:id="8"/>
      </w:r>
      <w:r w:rsidR="00CE7FBA" w:rsidRPr="00C755BB">
        <w:t>. W</w:t>
      </w:r>
      <w:r w:rsidR="00CE7FBA">
        <w:t> </w:t>
      </w:r>
      <w:r w:rsidR="00CE7FBA" w:rsidRPr="00C755BB">
        <w:t>dni</w:t>
      </w:r>
      <w:r w:rsidRPr="00C755BB">
        <w:t>u 9 marca 20</w:t>
      </w:r>
      <w:r w:rsidRPr="00CE7FBA">
        <w:t>17</w:t>
      </w:r>
      <w:r w:rsidR="00CE7FBA" w:rsidRPr="00CE7FBA">
        <w:t> </w:t>
      </w:r>
      <w:r w:rsidRPr="00CE7FBA">
        <w:t>r.</w:t>
      </w:r>
      <w:r w:rsidRPr="00C755BB">
        <w:t xml:space="preserve"> zgodnie</w:t>
      </w:r>
      <w:r w:rsidR="00CE7FBA" w:rsidRPr="00C755BB">
        <w:t xml:space="preserve"> z</w:t>
      </w:r>
      <w:r w:rsidR="00CE7FBA">
        <w:t> </w:t>
      </w:r>
      <w:r w:rsidR="00CE7FBA" w:rsidRPr="00C755BB">
        <w:t>udz</w:t>
      </w:r>
      <w:r w:rsidRPr="00C755BB">
        <w:t>ielonym przez Komisję upoważnieniem Agencja wydała zalecenie, do którego załączyła sprawozdanie poświęcone wynikom konsultacji przeprowadzonych</w:t>
      </w:r>
      <w:r w:rsidR="00CE7FBA" w:rsidRPr="00C755BB">
        <w:t xml:space="preserve"> z</w:t>
      </w:r>
      <w:r w:rsidR="00CE7FBA">
        <w:t> </w:t>
      </w:r>
      <w:r w:rsidR="00CE7FBA" w:rsidRPr="00C755BB">
        <w:t>kra</w:t>
      </w:r>
      <w:r w:rsidRPr="00C755BB">
        <w:t>jowymi organami ds. bezpieczeństwa, partnerami społecznymi</w:t>
      </w:r>
      <w:r w:rsidR="00CE7FBA" w:rsidRPr="00C755BB">
        <w:t xml:space="preserve"> i</w:t>
      </w:r>
      <w:r w:rsidR="00CE7FBA">
        <w:t> </w:t>
      </w:r>
      <w:r w:rsidR="00CE7FBA" w:rsidRPr="00C755BB">
        <w:t>uży</w:t>
      </w:r>
      <w:r w:rsidRPr="00C755BB">
        <w:t>tkownikami oraz sprawozdanie</w:t>
      </w:r>
      <w:r w:rsidR="00CE7FBA" w:rsidRPr="00C755BB">
        <w:t xml:space="preserve"> z</w:t>
      </w:r>
      <w:r w:rsidR="00CE7FBA">
        <w:t> </w:t>
      </w:r>
      <w:r w:rsidR="00CE7FBA" w:rsidRPr="00C755BB">
        <w:t>oce</w:t>
      </w:r>
      <w:r w:rsidRPr="00C755BB">
        <w:t>ny skutków zmienionych CSM, które mają zostać przyjęte. Zgodnie</w:t>
      </w:r>
      <w:r w:rsidR="00CE7FBA" w:rsidRPr="00C755BB">
        <w:t xml:space="preserve"> z</w:t>
      </w:r>
      <w:r w:rsidR="00CE7FBA">
        <w:t> </w:t>
      </w:r>
      <w:r w:rsidR="00CE7FBA" w:rsidRPr="00CE7FBA">
        <w:t>art</w:t>
      </w:r>
      <w:r w:rsidRPr="00CE7FBA">
        <w:t>.</w:t>
      </w:r>
      <w:r w:rsidR="00CE7FBA" w:rsidRPr="00CE7FBA">
        <w:t> </w:t>
      </w:r>
      <w:r w:rsidRPr="00CE7FBA">
        <w:t>6</w:t>
      </w:r>
      <w:r w:rsidRPr="00C755BB">
        <w:t xml:space="preserve"> </w:t>
      </w:r>
      <w:r w:rsidRPr="00CE7FBA">
        <w:t>ust.</w:t>
      </w:r>
      <w:r w:rsidR="00CE7FBA" w:rsidRPr="00CE7FBA">
        <w:t> </w:t>
      </w:r>
      <w:r w:rsidRPr="00CE7FBA">
        <w:t>4</w:t>
      </w:r>
      <w:r w:rsidRPr="00C755BB">
        <w:t xml:space="preserve"> dyrektywy (UE) 2016/798 Komisja przeanalizowała zalecenie wydane przez Agencję, by sprawdzić, czy udzielone upoważnienie zostało zrealizowane. </w:t>
      </w:r>
    </w:p>
    <w:p w:rsidR="00912B9A" w:rsidRPr="00C755BB" w:rsidRDefault="00912B9A" w:rsidP="007E2FD7">
      <w:pPr>
        <w:pStyle w:val="Considrant"/>
        <w:rPr>
          <w:noProof/>
        </w:rPr>
      </w:pPr>
      <w:r w:rsidRPr="00C755BB">
        <w:t>Celem systemów zarządzania bezpieczeństwem jest zapewnienie, by przedsiębiorstwa kolejowe</w:t>
      </w:r>
      <w:r w:rsidR="00CE7FBA" w:rsidRPr="00C755BB">
        <w:t xml:space="preserve"> i</w:t>
      </w:r>
      <w:r w:rsidR="00CE7FBA">
        <w:t> </w:t>
      </w:r>
      <w:r w:rsidR="00CE7FBA" w:rsidRPr="00C755BB">
        <w:t>zar</w:t>
      </w:r>
      <w:r w:rsidRPr="00C755BB">
        <w:t>ządcy infrastruktury osiągali swoje cele gospodarcze</w:t>
      </w:r>
      <w:r w:rsidR="00CE7FBA" w:rsidRPr="00C755BB">
        <w:t xml:space="preserve"> w</w:t>
      </w:r>
      <w:r w:rsidR="00CE7FBA">
        <w:t> </w:t>
      </w:r>
      <w:r w:rsidR="00CE7FBA" w:rsidRPr="00C755BB">
        <w:t>bez</w:t>
      </w:r>
      <w:r w:rsidRPr="00C755BB">
        <w:t>pieczny sposób. System zarządzania bezpieczeństwem jest często zintegrowany</w:t>
      </w:r>
      <w:r w:rsidR="00CE7FBA" w:rsidRPr="00C755BB">
        <w:t xml:space="preserve"> z</w:t>
      </w:r>
      <w:r w:rsidR="00CE7FBA">
        <w:t> </w:t>
      </w:r>
      <w:r w:rsidR="00CE7FBA" w:rsidRPr="00C755BB">
        <w:t>inn</w:t>
      </w:r>
      <w:r w:rsidRPr="00C755BB">
        <w:t>ymi systemami zarządzania</w:t>
      </w:r>
      <w:r w:rsidR="00CE7FBA" w:rsidRPr="00C755BB">
        <w:t xml:space="preserve"> w</w:t>
      </w:r>
      <w:r w:rsidR="00CE7FBA">
        <w:t> </w:t>
      </w:r>
      <w:r w:rsidR="00CE7FBA" w:rsidRPr="00C755BB">
        <w:t>cel</w:t>
      </w:r>
      <w:r w:rsidRPr="00C755BB">
        <w:t>u poprawy ogólnych wyników działalności organizacji oraz ograniczenia kosztów, przy rozłożeniu wysiłków na wszystkie szczeble organizacji</w:t>
      </w:r>
      <w:r w:rsidR="00CE7FBA" w:rsidRPr="00C755BB">
        <w:t>. W</w:t>
      </w:r>
      <w:r w:rsidR="00CE7FBA">
        <w:t> </w:t>
      </w:r>
      <w:r w:rsidR="00CE7FBA" w:rsidRPr="00C755BB">
        <w:t>tym</w:t>
      </w:r>
      <w:r w:rsidRPr="00C755BB">
        <w:t xml:space="preserve"> celu wspólne ramy </w:t>
      </w:r>
      <w:r w:rsidRPr="00C755BB">
        <w:rPr>
          <w:i/>
        </w:rPr>
        <w:t>ISO High Level Structure</w:t>
      </w:r>
      <w:r w:rsidRPr="00C755BB">
        <w:rPr>
          <w:rStyle w:val="FootnoteReference"/>
          <w:noProof/>
        </w:rPr>
        <w:footnoteReference w:id="9"/>
      </w:r>
      <w:r w:rsidRPr="00C755BB">
        <w:t xml:space="preserve"> są stosowane na potrzeby funkcjonalnego zgrupowania wymogów systemu zarządzania bezpieczeństwem,</w:t>
      </w:r>
      <w:r w:rsidR="00CE7FBA" w:rsidRPr="00C755BB">
        <w:t xml:space="preserve"> o</w:t>
      </w:r>
      <w:r w:rsidR="00CE7FBA">
        <w:t> </w:t>
      </w:r>
      <w:r w:rsidR="00CE7FBA" w:rsidRPr="00C755BB">
        <w:t>któ</w:t>
      </w:r>
      <w:r w:rsidRPr="00C755BB">
        <w:t>rym mowa</w:t>
      </w:r>
      <w:r w:rsidR="00CE7FBA" w:rsidRPr="00C755BB">
        <w:t xml:space="preserve"> w</w:t>
      </w:r>
      <w:r w:rsidR="00CE7FBA">
        <w:t> </w:t>
      </w:r>
      <w:r w:rsidR="00CE7FBA" w:rsidRPr="00CE7FBA">
        <w:t>art</w:t>
      </w:r>
      <w:r w:rsidRPr="00CE7FBA">
        <w:t>.</w:t>
      </w:r>
      <w:r w:rsidR="00CE7FBA" w:rsidRPr="00CE7FBA">
        <w:t> </w:t>
      </w:r>
      <w:r w:rsidRPr="00CE7FBA">
        <w:t>9</w:t>
      </w:r>
      <w:r w:rsidRPr="00C755BB">
        <w:t xml:space="preserve"> dyrektywy (UE) 2016/798. Ramy te ułatwiają również zrozumienie</w:t>
      </w:r>
      <w:r w:rsidR="00CE7FBA" w:rsidRPr="00C755BB">
        <w:t xml:space="preserve"> i</w:t>
      </w:r>
      <w:r w:rsidR="00CE7FBA">
        <w:t> </w:t>
      </w:r>
      <w:r w:rsidR="00CE7FBA" w:rsidRPr="00C755BB">
        <w:t>sto</w:t>
      </w:r>
      <w:r w:rsidRPr="00C755BB">
        <w:t>sowanie podejścia procesowego przez przedsiębiorstwa kolejowe</w:t>
      </w:r>
      <w:r w:rsidR="00CE7FBA" w:rsidRPr="00C755BB">
        <w:t xml:space="preserve"> i</w:t>
      </w:r>
      <w:r w:rsidR="00CE7FBA">
        <w:t> </w:t>
      </w:r>
      <w:r w:rsidR="00CE7FBA" w:rsidRPr="00C755BB">
        <w:t>zar</w:t>
      </w:r>
      <w:r w:rsidRPr="00C755BB">
        <w:t>ządców infrastruktury</w:t>
      </w:r>
      <w:r w:rsidR="00CE7FBA" w:rsidRPr="00C755BB">
        <w:t xml:space="preserve"> w</w:t>
      </w:r>
      <w:r w:rsidR="00CE7FBA">
        <w:t> </w:t>
      </w:r>
      <w:r w:rsidR="00CE7FBA" w:rsidRPr="00C755BB">
        <w:t>tra</w:t>
      </w:r>
      <w:r w:rsidRPr="00C755BB">
        <w:t>kcie opracowywania, wdrażania, utrzymywania</w:t>
      </w:r>
      <w:r w:rsidR="00CE7FBA" w:rsidRPr="00C755BB">
        <w:t xml:space="preserve"> i</w:t>
      </w:r>
      <w:r w:rsidR="00CE7FBA">
        <w:t> </w:t>
      </w:r>
      <w:r w:rsidR="00CE7FBA" w:rsidRPr="00C755BB">
        <w:t>sta</w:t>
      </w:r>
      <w:r w:rsidRPr="00C755BB">
        <w:t>łego ulepszania ich systemów zarządzania bezpieczeństwem.</w:t>
      </w:r>
    </w:p>
    <w:p w:rsidR="00912B9A" w:rsidRPr="00C755BB" w:rsidRDefault="00912B9A" w:rsidP="007E2FD7">
      <w:pPr>
        <w:pStyle w:val="Considrant"/>
        <w:rPr>
          <w:noProof/>
        </w:rPr>
      </w:pPr>
      <w:r w:rsidRPr="00C755BB">
        <w:t>Po otrzymaniu jednolitego certyfikatu bezpieczeństwa lub autoryzacji</w:t>
      </w:r>
      <w:r w:rsidR="00CE7FBA" w:rsidRPr="00C755BB">
        <w:t xml:space="preserve"> w</w:t>
      </w:r>
      <w:r w:rsidR="00CE7FBA">
        <w:t> </w:t>
      </w:r>
      <w:r w:rsidR="00CE7FBA" w:rsidRPr="00C755BB">
        <w:t>zak</w:t>
      </w:r>
      <w:r w:rsidRPr="00C755BB">
        <w:t>resie bezpieczeństwa wnioskodawca powinien</w:t>
      </w:r>
      <w:r w:rsidR="00CE7FBA" w:rsidRPr="00C755BB">
        <w:t xml:space="preserve"> w</w:t>
      </w:r>
      <w:r w:rsidR="00CE7FBA">
        <w:t> </w:t>
      </w:r>
      <w:r w:rsidR="00CE7FBA" w:rsidRPr="00C755BB">
        <w:t>dal</w:t>
      </w:r>
      <w:r w:rsidRPr="00C755BB">
        <w:t>szym ciągu stosować swój system zarządzania bezpieczeństwem,</w:t>
      </w:r>
      <w:r w:rsidR="00CE7FBA" w:rsidRPr="00C755BB">
        <w:t xml:space="preserve"> o</w:t>
      </w:r>
      <w:r w:rsidR="00CE7FBA">
        <w:t> </w:t>
      </w:r>
      <w:r w:rsidR="00CE7FBA" w:rsidRPr="00C755BB">
        <w:t>któ</w:t>
      </w:r>
      <w:r w:rsidRPr="00C755BB">
        <w:t>rym mowa</w:t>
      </w:r>
      <w:r w:rsidR="00CE7FBA" w:rsidRPr="00C755BB">
        <w:t xml:space="preserve"> w</w:t>
      </w:r>
      <w:r w:rsidR="00CE7FBA">
        <w:t> </w:t>
      </w:r>
      <w:r w:rsidR="00CE7FBA" w:rsidRPr="00CE7FBA">
        <w:t>art</w:t>
      </w:r>
      <w:r w:rsidRPr="00CE7FBA">
        <w:t>.</w:t>
      </w:r>
      <w:r w:rsidR="00CE7FBA" w:rsidRPr="00CE7FBA">
        <w:t> </w:t>
      </w:r>
      <w:r w:rsidRPr="00CE7FBA">
        <w:t>9</w:t>
      </w:r>
      <w:r w:rsidRPr="00C755BB">
        <w:t xml:space="preserve"> dyrektywy (UE) 2016/798.</w:t>
      </w:r>
    </w:p>
    <w:p w:rsidR="00912B9A" w:rsidRPr="00C755BB" w:rsidRDefault="00912B9A" w:rsidP="00075864">
      <w:pPr>
        <w:pStyle w:val="Considrant"/>
        <w:rPr>
          <w:noProof/>
        </w:rPr>
      </w:pPr>
      <w:r w:rsidRPr="00C755BB">
        <w:t>Zachowanie człowieka odgrywa centralną rolę</w:t>
      </w:r>
      <w:r w:rsidR="00CE7FBA" w:rsidRPr="00C755BB">
        <w:t xml:space="preserve"> w</w:t>
      </w:r>
      <w:r w:rsidR="00CE7FBA">
        <w:t> </w:t>
      </w:r>
      <w:r w:rsidR="00CE7FBA" w:rsidRPr="00C755BB">
        <w:t>zap</w:t>
      </w:r>
      <w:r w:rsidRPr="00C755BB">
        <w:t>ewnieniu bezpiecznego</w:t>
      </w:r>
      <w:r w:rsidR="00CE7FBA" w:rsidRPr="00C755BB">
        <w:t xml:space="preserve"> i</w:t>
      </w:r>
      <w:r w:rsidR="00CE7FBA">
        <w:t> </w:t>
      </w:r>
      <w:r w:rsidR="00CE7FBA" w:rsidRPr="00C755BB">
        <w:t>spr</w:t>
      </w:r>
      <w:r w:rsidRPr="00C755BB">
        <w:t>awnego funkcjonowania kolei</w:t>
      </w:r>
      <w:r w:rsidR="00CE7FBA" w:rsidRPr="00C755BB">
        <w:t>. W</w:t>
      </w:r>
      <w:r w:rsidR="00CE7FBA">
        <w:t> </w:t>
      </w:r>
      <w:r w:rsidR="00CE7FBA" w:rsidRPr="00C755BB">
        <w:t>prz</w:t>
      </w:r>
      <w:r w:rsidRPr="00C755BB">
        <w:t>ypadku gdy zachowanie człowieka uważane jest za czynnik, który przyczynił się do wypadku lub incydentu, na zachowanie to mogły mieć wpływ czynniki organizacyjne, takie jak obciążenie pracą lub organizacja pracy, prowadzące do pogorszenia wyników działania oraz do pogłębienia skutków danego wypadku lub incydentu</w:t>
      </w:r>
      <w:r w:rsidR="00CE7FBA" w:rsidRPr="00C755BB">
        <w:t>. W</w:t>
      </w:r>
      <w:r w:rsidR="00CE7FBA">
        <w:t> </w:t>
      </w:r>
      <w:r w:rsidR="00CE7FBA" w:rsidRPr="00C755BB">
        <w:t>zwi</w:t>
      </w:r>
      <w:r w:rsidRPr="00C755BB">
        <w:t>ązku</w:t>
      </w:r>
      <w:r w:rsidR="00CE7FBA" w:rsidRPr="00C755BB">
        <w:t xml:space="preserve"> z</w:t>
      </w:r>
      <w:r w:rsidR="00CE7FBA">
        <w:t> </w:t>
      </w:r>
      <w:r w:rsidR="00CE7FBA" w:rsidRPr="00C755BB">
        <w:t>tym</w:t>
      </w:r>
      <w:r w:rsidRPr="00C755BB">
        <w:t xml:space="preserve"> jest kwestią</w:t>
      </w:r>
      <w:r w:rsidR="00CE7FBA" w:rsidRPr="00C755BB">
        <w:t xml:space="preserve"> o</w:t>
      </w:r>
      <w:r w:rsidR="00CE7FBA">
        <w:t> </w:t>
      </w:r>
      <w:r w:rsidR="00CE7FBA" w:rsidRPr="00C755BB">
        <w:t>zas</w:t>
      </w:r>
      <w:r w:rsidRPr="00C755BB">
        <w:t>adniczym znaczeniu, by przedsiębiorstwa kolejowe</w:t>
      </w:r>
      <w:r w:rsidR="00CE7FBA" w:rsidRPr="00C755BB">
        <w:t xml:space="preserve"> i</w:t>
      </w:r>
      <w:r w:rsidR="00CE7FBA">
        <w:t> </w:t>
      </w:r>
      <w:r w:rsidR="00CE7FBA" w:rsidRPr="00C755BB">
        <w:t>zar</w:t>
      </w:r>
      <w:r w:rsidRPr="00C755BB">
        <w:t>ządcy infrastruktury posiadali systemową koncepcję wspierania działań człowieka oraz zarządzania czynnikami ludzkimi</w:t>
      </w:r>
      <w:r w:rsidR="00CE7FBA" w:rsidRPr="00C755BB">
        <w:t xml:space="preserve"> i</w:t>
      </w:r>
      <w:r w:rsidR="00CE7FBA">
        <w:t> </w:t>
      </w:r>
      <w:r w:rsidR="00CE7FBA" w:rsidRPr="00C755BB">
        <w:t>org</w:t>
      </w:r>
      <w:r w:rsidRPr="00C755BB">
        <w:t>anizacyjnymi</w:t>
      </w:r>
      <w:r w:rsidR="00CE7FBA" w:rsidRPr="00C755BB">
        <w:t xml:space="preserve"> w</w:t>
      </w:r>
      <w:r w:rsidR="00CE7FBA">
        <w:t> </w:t>
      </w:r>
      <w:r w:rsidR="00CE7FBA" w:rsidRPr="00C755BB">
        <w:t>obr</w:t>
      </w:r>
      <w:r w:rsidRPr="00C755BB">
        <w:t>ębie systemu zarządzania bezpieczeństwem.</w:t>
      </w:r>
    </w:p>
    <w:p w:rsidR="00912B9A" w:rsidRPr="00C755BB" w:rsidRDefault="00912B9A" w:rsidP="00401EE3">
      <w:pPr>
        <w:pStyle w:val="Considrant"/>
        <w:rPr>
          <w:noProof/>
        </w:rPr>
      </w:pPr>
      <w:r w:rsidRPr="00C755BB">
        <w:t>Sposób,</w:t>
      </w:r>
      <w:r w:rsidR="00CE7FBA" w:rsidRPr="00C755BB">
        <w:t xml:space="preserve"> w</w:t>
      </w:r>
      <w:r w:rsidR="00CE7FBA">
        <w:t> </w:t>
      </w:r>
      <w:r w:rsidR="00CE7FBA" w:rsidRPr="00C755BB">
        <w:t>jak</w:t>
      </w:r>
      <w:r w:rsidRPr="00C755BB">
        <w:t>i kwestia bezpieczeństwa jest postrzegana, doceniana</w:t>
      </w:r>
      <w:r w:rsidR="00CE7FBA" w:rsidRPr="00C755BB">
        <w:t xml:space="preserve"> i</w:t>
      </w:r>
      <w:r w:rsidR="00CE7FBA">
        <w:t> </w:t>
      </w:r>
      <w:r w:rsidR="00CE7FBA" w:rsidRPr="00C755BB">
        <w:t>uwz</w:t>
      </w:r>
      <w:r w:rsidRPr="00C755BB">
        <w:t>ględniana</w:t>
      </w:r>
      <w:r w:rsidR="00CE7FBA" w:rsidRPr="00C755BB">
        <w:t xml:space="preserve"> w</w:t>
      </w:r>
      <w:r w:rsidR="00CE7FBA">
        <w:t> </w:t>
      </w:r>
      <w:r w:rsidR="00CE7FBA" w:rsidRPr="00C755BB">
        <w:t>pri</w:t>
      </w:r>
      <w:r w:rsidRPr="00C755BB">
        <w:t>orytetach</w:t>
      </w:r>
      <w:r w:rsidR="00CE7FBA" w:rsidRPr="00C755BB">
        <w:t xml:space="preserve"> w</w:t>
      </w:r>
      <w:r w:rsidR="00CE7FBA">
        <w:t> </w:t>
      </w:r>
      <w:r w:rsidR="00CE7FBA" w:rsidRPr="00C755BB">
        <w:t>ram</w:t>
      </w:r>
      <w:r w:rsidRPr="00C755BB">
        <w:t>ach organizacji, odzwierciedla faktyczne zaangażowanie na rzecz bezpieczeństwa na wszystkich szczeblach organizacji</w:t>
      </w:r>
      <w:r w:rsidR="00CE7FBA" w:rsidRPr="00C755BB">
        <w:t>. W</w:t>
      </w:r>
      <w:r w:rsidR="00CE7FBA">
        <w:t> </w:t>
      </w:r>
      <w:r w:rsidR="00CE7FBA" w:rsidRPr="00C755BB">
        <w:t>zwi</w:t>
      </w:r>
      <w:r w:rsidRPr="00C755BB">
        <w:t>ązku</w:t>
      </w:r>
      <w:r w:rsidR="00CE7FBA" w:rsidRPr="00C755BB">
        <w:t xml:space="preserve"> z</w:t>
      </w:r>
      <w:r w:rsidR="00CE7FBA">
        <w:t> </w:t>
      </w:r>
      <w:r w:rsidR="00CE7FBA" w:rsidRPr="00C755BB">
        <w:t>tym</w:t>
      </w:r>
      <w:r w:rsidRPr="00C755BB">
        <w:t xml:space="preserve"> dla przedsiębiorstw kolejowych</w:t>
      </w:r>
      <w:r w:rsidR="00CE7FBA" w:rsidRPr="00C755BB">
        <w:t xml:space="preserve"> i</w:t>
      </w:r>
      <w:r w:rsidR="00CE7FBA">
        <w:t> </w:t>
      </w:r>
      <w:r w:rsidR="00CE7FBA" w:rsidRPr="00C755BB">
        <w:t>zar</w:t>
      </w:r>
      <w:r w:rsidRPr="00C755BB">
        <w:t>ządców infrastruktury ważne jest również określenie działań</w:t>
      </w:r>
      <w:r w:rsidR="00CE7FBA" w:rsidRPr="00C755BB">
        <w:t xml:space="preserve"> i</w:t>
      </w:r>
      <w:r w:rsidR="00CE7FBA">
        <w:t> </w:t>
      </w:r>
      <w:r w:rsidR="00CE7FBA" w:rsidRPr="00C755BB">
        <w:t>zac</w:t>
      </w:r>
      <w:r w:rsidRPr="00C755BB">
        <w:t>howań, które mogą kształtować pozytywną kulturę bezpieczeństwa, oraz wspieranie za pośrednictwem swojego systemu zarządzania bezpieczeństwem kultury wzajemnego zaufania, pewności</w:t>
      </w:r>
      <w:r w:rsidR="00CE7FBA" w:rsidRPr="00C755BB">
        <w:t xml:space="preserve"> i</w:t>
      </w:r>
      <w:r w:rsidR="00CE7FBA">
        <w:t> </w:t>
      </w:r>
      <w:r w:rsidR="00CE7FBA" w:rsidRPr="00C755BB">
        <w:t>ucz</w:t>
      </w:r>
      <w:r w:rsidRPr="00C755BB">
        <w:t>enia się,</w:t>
      </w:r>
      <w:r w:rsidR="00CE7FBA" w:rsidRPr="00C755BB">
        <w:t xml:space="preserve"> w</w:t>
      </w:r>
      <w:r w:rsidR="00CE7FBA">
        <w:t> </w:t>
      </w:r>
      <w:r w:rsidR="00CE7FBA" w:rsidRPr="00C755BB">
        <w:t>ram</w:t>
      </w:r>
      <w:r w:rsidRPr="00C755BB">
        <w:t>ach której pracownicy są zachęcani do wnoszenia wkładu</w:t>
      </w:r>
      <w:r w:rsidR="00CE7FBA" w:rsidRPr="00C755BB">
        <w:t xml:space="preserve"> w</w:t>
      </w:r>
      <w:r w:rsidR="00CE7FBA">
        <w:t> </w:t>
      </w:r>
      <w:r w:rsidR="00CE7FBA" w:rsidRPr="00C755BB">
        <w:t>roz</w:t>
      </w:r>
      <w:r w:rsidRPr="00C755BB">
        <w:t>wój bezpieczeństwa poprzez zgłaszanie niebezpiecznych zdarzeń</w:t>
      </w:r>
      <w:r w:rsidR="00CE7FBA" w:rsidRPr="00C755BB">
        <w:t xml:space="preserve"> i</w:t>
      </w:r>
      <w:r w:rsidR="00CE7FBA">
        <w:t> </w:t>
      </w:r>
      <w:r w:rsidR="00CE7FBA" w:rsidRPr="00C755BB">
        <w:t>zap</w:t>
      </w:r>
      <w:r w:rsidRPr="00C755BB">
        <w:t>ewnianie informacji związanych</w:t>
      </w:r>
      <w:r w:rsidR="00CE7FBA" w:rsidRPr="00C755BB">
        <w:t xml:space="preserve"> z</w:t>
      </w:r>
      <w:r w:rsidR="00CE7FBA">
        <w:t> </w:t>
      </w:r>
      <w:r w:rsidR="00CE7FBA" w:rsidRPr="00C755BB">
        <w:t>bez</w:t>
      </w:r>
      <w:r w:rsidRPr="00C755BB">
        <w:t>pieczeństwem.</w:t>
      </w:r>
    </w:p>
    <w:p w:rsidR="00912B9A" w:rsidRPr="00C755BB" w:rsidRDefault="00912B9A" w:rsidP="00505407">
      <w:pPr>
        <w:pStyle w:val="Considrant"/>
        <w:rPr>
          <w:noProof/>
        </w:rPr>
      </w:pPr>
      <w:r w:rsidRPr="00C755BB">
        <w:t>System zarządzania bezpieczeństwem powinien uwzględniać fakt, że dyrektywa Rady 89/391/EWG</w:t>
      </w:r>
      <w:r w:rsidRPr="00C755BB">
        <w:rPr>
          <w:rStyle w:val="FootnoteReference"/>
          <w:noProof/>
        </w:rPr>
        <w:footnoteReference w:id="10"/>
      </w:r>
      <w:r w:rsidRPr="00C755BB">
        <w:t xml:space="preserve"> oraz powiązane</w:t>
      </w:r>
      <w:r w:rsidR="00CE7FBA" w:rsidRPr="00C755BB">
        <w:t xml:space="preserve"> z</w:t>
      </w:r>
      <w:r w:rsidR="00CE7FBA">
        <w:t> </w:t>
      </w:r>
      <w:r w:rsidR="00CE7FBA" w:rsidRPr="00C755BB">
        <w:t>nią</w:t>
      </w:r>
      <w:r w:rsidRPr="00C755BB">
        <w:t xml:space="preserve"> stosowne dyrektywy szczegółowe mają</w:t>
      </w:r>
      <w:r w:rsidR="00CE7FBA" w:rsidRPr="00C755BB">
        <w:t xml:space="preserve"> w</w:t>
      </w:r>
      <w:r w:rsidR="00CE7FBA">
        <w:t> </w:t>
      </w:r>
      <w:r w:rsidR="00CE7FBA" w:rsidRPr="00C755BB">
        <w:t>peł</w:t>
      </w:r>
      <w:r w:rsidRPr="00C755BB">
        <w:t>ni zastosowanie do ochrony zdrowia</w:t>
      </w:r>
      <w:r w:rsidR="00CE7FBA" w:rsidRPr="00C755BB">
        <w:t xml:space="preserve"> i</w:t>
      </w:r>
      <w:r w:rsidR="00CE7FBA">
        <w:t> </w:t>
      </w:r>
      <w:r w:rsidR="00CE7FBA" w:rsidRPr="00C755BB">
        <w:t>bez</w:t>
      </w:r>
      <w:r w:rsidRPr="00C755BB">
        <w:t>pieczeństwa pracowników zaangażowanych</w:t>
      </w:r>
      <w:r w:rsidR="00CE7FBA" w:rsidRPr="00C755BB">
        <w:t xml:space="preserve"> w</w:t>
      </w:r>
      <w:r w:rsidR="00CE7FBA">
        <w:t> </w:t>
      </w:r>
      <w:r w:rsidR="00CE7FBA" w:rsidRPr="00C755BB">
        <w:t>bud</w:t>
      </w:r>
      <w:r w:rsidRPr="00C755BB">
        <w:t>owę, eksploatację</w:t>
      </w:r>
      <w:r w:rsidR="00CE7FBA" w:rsidRPr="00C755BB">
        <w:t xml:space="preserve"> i</w:t>
      </w:r>
      <w:r w:rsidR="00CE7FBA">
        <w:t> </w:t>
      </w:r>
      <w:r w:rsidR="00CE7FBA" w:rsidRPr="00C755BB">
        <w:t>utr</w:t>
      </w:r>
      <w:r w:rsidRPr="00C755BB">
        <w:t>zymanie kolei. Nie nakłada ona żadnych dodatkowych obowiązków lub zadań na organ wydający certyfikat lub zezwolenie poza wymogiem kontrolowania, czy zagrożenia dla zdrowia</w:t>
      </w:r>
      <w:r w:rsidR="00CE7FBA" w:rsidRPr="00C755BB">
        <w:t xml:space="preserve"> i</w:t>
      </w:r>
      <w:r w:rsidR="00CE7FBA">
        <w:t> </w:t>
      </w:r>
      <w:r w:rsidR="00CE7FBA" w:rsidRPr="00C755BB">
        <w:t>bez</w:t>
      </w:r>
      <w:r w:rsidRPr="00C755BB">
        <w:t>pieczeństwa zostały uwzględnione przez wnioskodawcę ubiegającego się</w:t>
      </w:r>
      <w:r w:rsidR="00CE7FBA" w:rsidRPr="00C755BB">
        <w:t xml:space="preserve"> o</w:t>
      </w:r>
      <w:r w:rsidR="00CE7FBA">
        <w:t> </w:t>
      </w:r>
      <w:r w:rsidR="00CE7FBA" w:rsidRPr="00C755BB">
        <w:t>jed</w:t>
      </w:r>
      <w:r w:rsidRPr="00C755BB">
        <w:t>nolity certyfikat bezpieczeństwa lub autoryzację</w:t>
      </w:r>
      <w:r w:rsidR="00CE7FBA" w:rsidRPr="00C755BB">
        <w:t xml:space="preserve"> w</w:t>
      </w:r>
      <w:r w:rsidR="00CE7FBA">
        <w:t> </w:t>
      </w:r>
      <w:r w:rsidR="00CE7FBA" w:rsidRPr="00C755BB">
        <w:t>zak</w:t>
      </w:r>
      <w:r w:rsidRPr="00C755BB">
        <w:t>resie bezpieczeństwa. Odpowiedzialność za kontrolę zgodności</w:t>
      </w:r>
      <w:r w:rsidR="00CE7FBA" w:rsidRPr="00C755BB">
        <w:t xml:space="preserve"> z</w:t>
      </w:r>
      <w:r w:rsidR="00CE7FBA">
        <w:t> </w:t>
      </w:r>
      <w:r w:rsidR="00CE7FBA" w:rsidRPr="00C755BB">
        <w:t>dyr</w:t>
      </w:r>
      <w:r w:rsidRPr="00C755BB">
        <w:t>ektywą 89/391/EWG może być powierzona innym właściwym organom wyznaczonym przez państwo członkowskie.</w:t>
      </w:r>
    </w:p>
    <w:p w:rsidR="00912B9A" w:rsidRPr="00C755BB" w:rsidRDefault="00912B9A" w:rsidP="007E2FD7">
      <w:pPr>
        <w:pStyle w:val="Considrant"/>
        <w:rPr>
          <w:noProof/>
        </w:rPr>
      </w:pPr>
      <w:r w:rsidRPr="00C755BB">
        <w:t>System zarządzania bezpieczeństwem powinien</w:t>
      </w:r>
      <w:r w:rsidR="00CE7FBA" w:rsidRPr="00C755BB">
        <w:t xml:space="preserve"> w</w:t>
      </w:r>
      <w:r w:rsidR="00CE7FBA">
        <w:t> </w:t>
      </w:r>
      <w:r w:rsidR="00CE7FBA" w:rsidRPr="00C755BB">
        <w:t>sto</w:t>
      </w:r>
      <w:r w:rsidRPr="00C755BB">
        <w:t>sownych przypadkach uwzględniać potencjalne dodatkowe zagrożenia wynikające</w:t>
      </w:r>
      <w:r w:rsidR="00CE7FBA" w:rsidRPr="00C755BB">
        <w:t xml:space="preserve"> z</w:t>
      </w:r>
      <w:r w:rsidR="00CE7FBA">
        <w:t> </w:t>
      </w:r>
      <w:r w:rsidR="00CE7FBA" w:rsidRPr="00C755BB">
        <w:t>tra</w:t>
      </w:r>
      <w:r w:rsidRPr="00C755BB">
        <w:t>nsportu towarów niebezpiecznych koleją,</w:t>
      </w:r>
      <w:r w:rsidR="00CE7FBA" w:rsidRPr="00C755BB">
        <w:t xml:space="preserve"> a</w:t>
      </w:r>
      <w:r w:rsidR="00CE7FBA">
        <w:t> </w:t>
      </w:r>
      <w:r w:rsidR="00CE7FBA" w:rsidRPr="00C755BB">
        <w:t>tym</w:t>
      </w:r>
      <w:r w:rsidRPr="00C755BB">
        <w:t xml:space="preserve"> samym uwzględniać dyrektywę 2008/68/WE</w:t>
      </w:r>
      <w:r w:rsidRPr="00C755BB">
        <w:rPr>
          <w:rStyle w:val="FootnoteReference"/>
          <w:noProof/>
        </w:rPr>
        <w:footnoteReference w:id="11"/>
      </w:r>
      <w:r w:rsidRPr="00C755BB">
        <w:t>.</w:t>
      </w:r>
    </w:p>
    <w:p w:rsidR="00490F5E" w:rsidRPr="00C755BB" w:rsidRDefault="00490F5E" w:rsidP="00490F5E">
      <w:pPr>
        <w:pStyle w:val="Considrant"/>
        <w:rPr>
          <w:noProof/>
        </w:rPr>
      </w:pPr>
      <w:r w:rsidRPr="00C755BB">
        <w:t xml:space="preserve">Rozporządzenia (UE) </w:t>
      </w:r>
      <w:r w:rsidRPr="00CE7FBA">
        <w:t>nr</w:t>
      </w:r>
      <w:r w:rsidR="00CE7FBA" w:rsidRPr="00CE7FBA">
        <w:t> </w:t>
      </w:r>
      <w:r w:rsidRPr="00CE7FBA">
        <w:t>1</w:t>
      </w:r>
      <w:r w:rsidRPr="00C755BB">
        <w:t xml:space="preserve">158/2010 i (UE) </w:t>
      </w:r>
      <w:r w:rsidRPr="00CE7FBA">
        <w:t>nr</w:t>
      </w:r>
      <w:r w:rsidR="00CE7FBA" w:rsidRPr="00CE7FBA">
        <w:t> </w:t>
      </w:r>
      <w:r w:rsidRPr="00CE7FBA">
        <w:t>1</w:t>
      </w:r>
      <w:r w:rsidRPr="00C755BB">
        <w:t>169/2010 staną się nieaktualne, należy je więc zastąpić niniejszym rozporządzeniem.</w:t>
      </w:r>
    </w:p>
    <w:p w:rsidR="00DC5D5F" w:rsidRPr="00C755BB" w:rsidRDefault="00DC5D5F" w:rsidP="0014795D">
      <w:pPr>
        <w:pStyle w:val="Considrant"/>
        <w:rPr>
          <w:noProof/>
        </w:rPr>
      </w:pPr>
      <w:r w:rsidRPr="00C755BB">
        <w:t>Jeśli chodzi</w:t>
      </w:r>
      <w:r w:rsidR="00CE7FBA" w:rsidRPr="00C755BB">
        <w:t xml:space="preserve"> o</w:t>
      </w:r>
      <w:r w:rsidR="00CE7FBA">
        <w:t> </w:t>
      </w:r>
      <w:r w:rsidR="00CE7FBA" w:rsidRPr="00C755BB">
        <w:t>cer</w:t>
      </w:r>
      <w:r w:rsidRPr="00C755BB">
        <w:t>tyfikaty bezpieczeństwa,</w:t>
      </w:r>
      <w:r w:rsidR="00CE7FBA" w:rsidRPr="00C755BB">
        <w:t xml:space="preserve"> z</w:t>
      </w:r>
      <w:r w:rsidR="00CE7FBA">
        <w:t> </w:t>
      </w:r>
      <w:r w:rsidR="00CE7FBA" w:rsidRPr="00CE7FBA">
        <w:t>art</w:t>
      </w:r>
      <w:r w:rsidRPr="00CE7FBA">
        <w:t>.</w:t>
      </w:r>
      <w:r w:rsidR="00CE7FBA" w:rsidRPr="00CE7FBA">
        <w:t> </w:t>
      </w:r>
      <w:r w:rsidRPr="00CE7FBA">
        <w:t>1</w:t>
      </w:r>
      <w:r w:rsidRPr="00C755BB">
        <w:t xml:space="preserve">0 </w:t>
      </w:r>
      <w:r w:rsidRPr="00CE7FBA">
        <w:t>ust.</w:t>
      </w:r>
      <w:r w:rsidR="00CE7FBA" w:rsidRPr="00CE7FBA">
        <w:t> </w:t>
      </w:r>
      <w:r w:rsidRPr="00CE7FBA">
        <w:t>1</w:t>
      </w:r>
      <w:r w:rsidRPr="00C755BB">
        <w:t>5 dyrektywy (UE) 2016/798 wynika, że krajowy organ ds. bezpieczeństwa może zażądać zmiany certyfikatów bezpieczeństwa</w:t>
      </w:r>
      <w:r w:rsidR="00CE7FBA" w:rsidRPr="00C755BB">
        <w:t xml:space="preserve"> w</w:t>
      </w:r>
      <w:r w:rsidR="00CE7FBA">
        <w:t> </w:t>
      </w:r>
      <w:r w:rsidR="00CE7FBA" w:rsidRPr="00C755BB">
        <w:t>nas</w:t>
      </w:r>
      <w:r w:rsidRPr="00C755BB">
        <w:t>tępstwie znacznych zmian ram regulacyjnych</w:t>
      </w:r>
      <w:r w:rsidR="00CE7FBA" w:rsidRPr="00C755BB">
        <w:t xml:space="preserve"> w</w:t>
      </w:r>
      <w:r w:rsidR="00CE7FBA">
        <w:t> </w:t>
      </w:r>
      <w:r w:rsidR="00CE7FBA" w:rsidRPr="00C755BB">
        <w:t>dzi</w:t>
      </w:r>
      <w:r w:rsidRPr="00C755BB">
        <w:t xml:space="preserve">edzinie bezpieczeństwa. Zmiany wprowadzone na mocy </w:t>
      </w:r>
      <w:r w:rsidRPr="00CE7FBA">
        <w:t>art.</w:t>
      </w:r>
      <w:r w:rsidR="00CE7FBA" w:rsidRPr="00CE7FBA">
        <w:t> </w:t>
      </w:r>
      <w:r w:rsidRPr="00CE7FBA">
        <w:t>9</w:t>
      </w:r>
      <w:r w:rsidRPr="00C755BB">
        <w:t xml:space="preserve"> dyrektywy (UE) 2016/798 oraz niniejszego rozporządzenia nie są istotne, mimo ich stosowności</w:t>
      </w:r>
      <w:r w:rsidR="00CE7FBA" w:rsidRPr="00C755BB">
        <w:t xml:space="preserve"> i</w:t>
      </w:r>
      <w:r w:rsidR="00CE7FBA">
        <w:t> </w:t>
      </w:r>
      <w:r w:rsidR="00CE7FBA" w:rsidRPr="00C755BB">
        <w:t>zna</w:t>
      </w:r>
      <w:r w:rsidRPr="00C755BB">
        <w:t>czenia</w:t>
      </w:r>
      <w:r w:rsidR="00CE7FBA" w:rsidRPr="00C755BB">
        <w:t>. W</w:t>
      </w:r>
      <w:r w:rsidR="00CE7FBA">
        <w:t> </w:t>
      </w:r>
      <w:r w:rsidR="00CE7FBA" w:rsidRPr="00C755BB">
        <w:t>zwi</w:t>
      </w:r>
      <w:r w:rsidRPr="00C755BB">
        <w:t>ązku</w:t>
      </w:r>
      <w:r w:rsidR="00CE7FBA" w:rsidRPr="00C755BB">
        <w:t xml:space="preserve"> z</w:t>
      </w:r>
      <w:r w:rsidR="00CE7FBA">
        <w:t> </w:t>
      </w:r>
      <w:r w:rsidR="00CE7FBA" w:rsidRPr="00C755BB">
        <w:t>tym</w:t>
      </w:r>
      <w:r w:rsidRPr="00C755BB">
        <w:t xml:space="preserve"> rozporządzenie (UE) </w:t>
      </w:r>
      <w:r w:rsidRPr="00CE7FBA">
        <w:t>nr</w:t>
      </w:r>
      <w:r w:rsidR="00CE7FBA" w:rsidRPr="00CE7FBA">
        <w:t> </w:t>
      </w:r>
      <w:r w:rsidRPr="00CE7FBA">
        <w:t>1</w:t>
      </w:r>
      <w:r w:rsidRPr="00C755BB">
        <w:t>158/2010 powinno mieć zastosowanie do certyfikatów bezpieczeństwa wydanych zgodnie</w:t>
      </w:r>
      <w:r w:rsidR="00CE7FBA" w:rsidRPr="00C755BB">
        <w:t xml:space="preserve"> z</w:t>
      </w:r>
      <w:r w:rsidR="00CE7FBA">
        <w:t> </w:t>
      </w:r>
      <w:r w:rsidR="00CE7FBA" w:rsidRPr="00C755BB">
        <w:t>dyr</w:t>
      </w:r>
      <w:r w:rsidRPr="00C755BB">
        <w:t>ektywą 2004/49/WE Parlamentu Europejskiego</w:t>
      </w:r>
      <w:r w:rsidR="00CE7FBA" w:rsidRPr="00C755BB">
        <w:t xml:space="preserve"> i</w:t>
      </w:r>
      <w:r w:rsidR="00CE7FBA">
        <w:t> </w:t>
      </w:r>
      <w:r w:rsidR="00CE7FBA" w:rsidRPr="00C755BB">
        <w:t>Rad</w:t>
      </w:r>
      <w:r w:rsidRPr="00C755BB">
        <w:t>y</w:t>
      </w:r>
      <w:r w:rsidRPr="00C755BB">
        <w:rPr>
          <w:rStyle w:val="FootnoteReference"/>
          <w:noProof/>
        </w:rPr>
        <w:footnoteReference w:id="12"/>
      </w:r>
      <w:r w:rsidRPr="00C755BB">
        <w:t xml:space="preserve"> do upływu terminu ich ważności</w:t>
      </w:r>
      <w:r w:rsidR="00CE7FBA" w:rsidRPr="00C755BB">
        <w:t>. Z</w:t>
      </w:r>
      <w:r w:rsidR="00CE7FBA">
        <w:t> </w:t>
      </w:r>
      <w:r w:rsidR="00CE7FBA" w:rsidRPr="00C755BB">
        <w:t>teg</w:t>
      </w:r>
      <w:r w:rsidRPr="00C755BB">
        <w:t xml:space="preserve">o samego względu konieczne jest również odroczenie uchylenia rozporządzenia (UE) </w:t>
      </w:r>
      <w:r w:rsidRPr="00CE7FBA">
        <w:t>nr</w:t>
      </w:r>
      <w:r w:rsidR="00CE7FBA" w:rsidRPr="00CE7FBA">
        <w:t> </w:t>
      </w:r>
      <w:r w:rsidRPr="00CE7FBA">
        <w:t>1</w:t>
      </w:r>
      <w:r w:rsidRPr="00C755BB">
        <w:t>158/2010 do końca ostatniego dnia okresu,</w:t>
      </w:r>
      <w:r w:rsidR="00CE7FBA" w:rsidRPr="00C755BB">
        <w:t xml:space="preserve"> w</w:t>
      </w:r>
      <w:r w:rsidR="00CE7FBA">
        <w:t> </w:t>
      </w:r>
      <w:r w:rsidR="00CE7FBA" w:rsidRPr="00C755BB">
        <w:t>któ</w:t>
      </w:r>
      <w:r w:rsidRPr="00C755BB">
        <w:t>rym może być ono jeszcze stosowane przez krajowe organy ds. bezpieczeństwa do celów nadzoru. Ponadto zgodnie</w:t>
      </w:r>
      <w:r w:rsidR="00CE7FBA" w:rsidRPr="00C755BB">
        <w:t xml:space="preserve"> z</w:t>
      </w:r>
      <w:r w:rsidR="00CE7FBA">
        <w:t> </w:t>
      </w:r>
      <w:r w:rsidR="00CE7FBA" w:rsidRPr="00C755BB">
        <w:t>dyr</w:t>
      </w:r>
      <w:r w:rsidRPr="00C755BB">
        <w:t>ektywą (UE) 2016/798 istniejące certyfikaty bezpieczeństwa</w:t>
      </w:r>
      <w:r w:rsidR="00CE7FBA" w:rsidRPr="00C755BB">
        <w:t xml:space="preserve"> w</w:t>
      </w:r>
      <w:r w:rsidR="00CE7FBA">
        <w:t> </w:t>
      </w:r>
      <w:r w:rsidR="00CE7FBA" w:rsidRPr="00C755BB">
        <w:t>dal</w:t>
      </w:r>
      <w:r w:rsidRPr="00C755BB">
        <w:t xml:space="preserve">szym ciągu podlegają przepisom dyrektywy 2004/49/WE, która stanowiła podstawę dla rozporządzenia (UE) </w:t>
      </w:r>
      <w:r w:rsidRPr="00CE7FBA">
        <w:t>nr</w:t>
      </w:r>
      <w:r w:rsidR="00CE7FBA" w:rsidRPr="00CE7FBA">
        <w:t> </w:t>
      </w:r>
      <w:r w:rsidRPr="00CE7FBA">
        <w:t>1</w:t>
      </w:r>
      <w:r w:rsidRPr="00C755BB">
        <w:t>158/2010.</w:t>
      </w:r>
    </w:p>
    <w:p w:rsidR="008A2F5C" w:rsidRPr="00C755BB" w:rsidRDefault="008A2F5C" w:rsidP="0014795D">
      <w:pPr>
        <w:pStyle w:val="Considrant"/>
        <w:rPr>
          <w:noProof/>
        </w:rPr>
      </w:pPr>
      <w:r w:rsidRPr="00C755BB">
        <w:t>Jeśli chodzi</w:t>
      </w:r>
      <w:r w:rsidR="00CE7FBA" w:rsidRPr="00C755BB">
        <w:t xml:space="preserve"> o</w:t>
      </w:r>
      <w:r w:rsidR="00CE7FBA">
        <w:t> </w:t>
      </w:r>
      <w:r w:rsidR="00CE7FBA" w:rsidRPr="00C755BB">
        <w:t>aut</w:t>
      </w:r>
      <w:r w:rsidRPr="00C755BB">
        <w:t>oryzacje</w:t>
      </w:r>
      <w:r w:rsidR="00CE7FBA" w:rsidRPr="00C755BB">
        <w:t xml:space="preserve"> w</w:t>
      </w:r>
      <w:r w:rsidR="00CE7FBA">
        <w:t> </w:t>
      </w:r>
      <w:r w:rsidR="00CE7FBA" w:rsidRPr="00C755BB">
        <w:t>zak</w:t>
      </w:r>
      <w:r w:rsidRPr="00C755BB">
        <w:t>resie bezpieczeństwa,</w:t>
      </w:r>
      <w:r w:rsidR="00CE7FBA" w:rsidRPr="00C755BB">
        <w:t xml:space="preserve"> z</w:t>
      </w:r>
      <w:r w:rsidR="00CE7FBA">
        <w:t> </w:t>
      </w:r>
      <w:r w:rsidR="00CE7FBA" w:rsidRPr="00CE7FBA">
        <w:t>art</w:t>
      </w:r>
      <w:r w:rsidRPr="00CE7FBA">
        <w:t>.</w:t>
      </w:r>
      <w:r w:rsidR="00CE7FBA" w:rsidRPr="00CE7FBA">
        <w:t> </w:t>
      </w:r>
      <w:r w:rsidRPr="00CE7FBA">
        <w:t>1</w:t>
      </w:r>
      <w:r w:rsidRPr="00C755BB">
        <w:t xml:space="preserve">2 </w:t>
      </w:r>
      <w:r w:rsidRPr="00CE7FBA">
        <w:t>ust.</w:t>
      </w:r>
      <w:r w:rsidR="00CE7FBA" w:rsidRPr="00CE7FBA">
        <w:t> </w:t>
      </w:r>
      <w:r w:rsidRPr="00CE7FBA">
        <w:t>2</w:t>
      </w:r>
      <w:r w:rsidRPr="00C755BB">
        <w:t xml:space="preserve"> akapit drugi dyrektywy (UE) 2016/798 wynika, że krajowy organ ds. bezpieczeństwa może zażądać zmiany autoryzacji</w:t>
      </w:r>
      <w:r w:rsidR="00CE7FBA" w:rsidRPr="00C755BB">
        <w:t xml:space="preserve"> w</w:t>
      </w:r>
      <w:r w:rsidR="00CE7FBA">
        <w:t> </w:t>
      </w:r>
      <w:r w:rsidR="00CE7FBA" w:rsidRPr="00C755BB">
        <w:t>zak</w:t>
      </w:r>
      <w:r w:rsidRPr="00C755BB">
        <w:t xml:space="preserve">resie bezpieczeństwa po każdej zasadniczej zmianie ram regulacyjnych dotyczących bezpieczeństwa. Zmiany wprowadzone na mocy </w:t>
      </w:r>
      <w:r w:rsidRPr="00CE7FBA">
        <w:t>art.</w:t>
      </w:r>
      <w:r w:rsidR="00CE7FBA" w:rsidRPr="00CE7FBA">
        <w:t> </w:t>
      </w:r>
      <w:r w:rsidRPr="00CE7FBA">
        <w:t>9</w:t>
      </w:r>
      <w:r w:rsidRPr="00C755BB">
        <w:t xml:space="preserve"> dyrektywy (UE) 2016/798 oraz niniejszego rozporządzenia nie są istotne, mimo ich stosowności</w:t>
      </w:r>
      <w:r w:rsidR="00CE7FBA" w:rsidRPr="00C755BB">
        <w:t xml:space="preserve"> i</w:t>
      </w:r>
      <w:r w:rsidR="00CE7FBA">
        <w:t> </w:t>
      </w:r>
      <w:r w:rsidR="00CE7FBA" w:rsidRPr="00C755BB">
        <w:t>zna</w:t>
      </w:r>
      <w:r w:rsidRPr="00C755BB">
        <w:t>czenia</w:t>
      </w:r>
      <w:r w:rsidR="00CE7FBA" w:rsidRPr="00C755BB">
        <w:t>. W</w:t>
      </w:r>
      <w:r w:rsidR="00CE7FBA">
        <w:t> </w:t>
      </w:r>
      <w:r w:rsidR="00CE7FBA" w:rsidRPr="00C755BB">
        <w:t>zwi</w:t>
      </w:r>
      <w:r w:rsidRPr="00C755BB">
        <w:t>ązku</w:t>
      </w:r>
      <w:r w:rsidR="00CE7FBA" w:rsidRPr="00C755BB">
        <w:t xml:space="preserve"> z</w:t>
      </w:r>
      <w:r w:rsidR="00CE7FBA">
        <w:t> </w:t>
      </w:r>
      <w:r w:rsidR="00CE7FBA" w:rsidRPr="00C755BB">
        <w:t>tym</w:t>
      </w:r>
      <w:r w:rsidRPr="00C755BB">
        <w:t xml:space="preserve"> rozporządzenie (UE) </w:t>
      </w:r>
      <w:r w:rsidRPr="00CE7FBA">
        <w:t>nr</w:t>
      </w:r>
      <w:r w:rsidR="00CE7FBA" w:rsidRPr="00CE7FBA">
        <w:t> </w:t>
      </w:r>
      <w:r w:rsidRPr="00CE7FBA">
        <w:t>1</w:t>
      </w:r>
      <w:r w:rsidRPr="00C755BB">
        <w:t>169/2010 powinno mieć zastosowanie do autoryzacji</w:t>
      </w:r>
      <w:r w:rsidR="00CE7FBA" w:rsidRPr="00C755BB">
        <w:t xml:space="preserve"> w</w:t>
      </w:r>
      <w:r w:rsidR="00CE7FBA">
        <w:t> </w:t>
      </w:r>
      <w:r w:rsidR="00CE7FBA" w:rsidRPr="00C755BB">
        <w:t>zak</w:t>
      </w:r>
      <w:r w:rsidRPr="00C755BB">
        <w:t>resie bezpieczeństwa wydanych zgodnie</w:t>
      </w:r>
      <w:r w:rsidR="00CE7FBA" w:rsidRPr="00C755BB">
        <w:t xml:space="preserve"> z</w:t>
      </w:r>
      <w:r w:rsidR="00CE7FBA">
        <w:t> </w:t>
      </w:r>
      <w:r w:rsidR="00CE7FBA" w:rsidRPr="00C755BB">
        <w:t>dyr</w:t>
      </w:r>
      <w:r w:rsidRPr="00C755BB">
        <w:t>ektywą 2004/49/WE do upływu terminu ich ważności</w:t>
      </w:r>
      <w:r w:rsidR="00CE7FBA" w:rsidRPr="00C755BB">
        <w:t>. Z</w:t>
      </w:r>
      <w:r w:rsidR="00CE7FBA">
        <w:t> </w:t>
      </w:r>
      <w:r w:rsidR="00CE7FBA" w:rsidRPr="00C755BB">
        <w:t>teg</w:t>
      </w:r>
      <w:r w:rsidRPr="00C755BB">
        <w:t xml:space="preserve">o samego względu konieczne jest również odroczenie uchylenia rozporządzenia (UE) </w:t>
      </w:r>
      <w:r w:rsidRPr="00CE7FBA">
        <w:t>nr</w:t>
      </w:r>
      <w:r w:rsidR="00CE7FBA" w:rsidRPr="00CE7FBA">
        <w:t> </w:t>
      </w:r>
      <w:r w:rsidRPr="00CE7FBA">
        <w:t>1</w:t>
      </w:r>
      <w:r w:rsidRPr="00C755BB">
        <w:t>169/2010 do końca ostatniego dnia okresu,</w:t>
      </w:r>
      <w:r w:rsidR="00CE7FBA" w:rsidRPr="00C755BB">
        <w:t xml:space="preserve"> w</w:t>
      </w:r>
      <w:r w:rsidR="00CE7FBA">
        <w:t> </w:t>
      </w:r>
      <w:r w:rsidR="00CE7FBA" w:rsidRPr="00C755BB">
        <w:t>któ</w:t>
      </w:r>
      <w:r w:rsidRPr="00C755BB">
        <w:t>rym może być ono jeszcze stosowane przez krajowe organy ds. bezpieczeństwa do celów nadzoru,</w:t>
      </w:r>
    </w:p>
    <w:p w:rsidR="00912B9A" w:rsidRPr="00C755BB" w:rsidRDefault="00912B9A">
      <w:pPr>
        <w:pStyle w:val="Formuledadoption"/>
        <w:rPr>
          <w:noProof/>
        </w:rPr>
      </w:pPr>
      <w:r w:rsidRPr="00C755BB">
        <w:t>PRZYJMUJE NINIEJSZE ROZPORZĄDZENIE:</w:t>
      </w:r>
    </w:p>
    <w:p w:rsidR="00912B9A" w:rsidRPr="00C755BB" w:rsidRDefault="00912B9A">
      <w:pPr>
        <w:pStyle w:val="Titrearticle"/>
        <w:rPr>
          <w:noProof/>
        </w:rPr>
      </w:pPr>
      <w:r w:rsidRPr="00C755BB">
        <w:t>Artykuł 1</w:t>
      </w:r>
    </w:p>
    <w:p w:rsidR="00425401" w:rsidRPr="00C755BB" w:rsidRDefault="00912B9A" w:rsidP="00425401">
      <w:pPr>
        <w:pStyle w:val="NormalCentered"/>
        <w:rPr>
          <w:b/>
          <w:bCs/>
          <w:noProof/>
        </w:rPr>
      </w:pPr>
      <w:r w:rsidRPr="00C755BB">
        <w:rPr>
          <w:b/>
          <w:noProof/>
        </w:rPr>
        <w:t>Przedmiot</w:t>
      </w:r>
      <w:r w:rsidR="00CE7FBA" w:rsidRPr="00C755BB">
        <w:rPr>
          <w:b/>
          <w:noProof/>
        </w:rPr>
        <w:t xml:space="preserve"> i</w:t>
      </w:r>
      <w:r w:rsidR="00CE7FBA">
        <w:rPr>
          <w:b/>
          <w:noProof/>
        </w:rPr>
        <w:t> </w:t>
      </w:r>
      <w:r w:rsidR="00CE7FBA" w:rsidRPr="00C755BB">
        <w:rPr>
          <w:b/>
          <w:noProof/>
        </w:rPr>
        <w:t>zak</w:t>
      </w:r>
      <w:r w:rsidRPr="00C755BB">
        <w:rPr>
          <w:b/>
          <w:noProof/>
        </w:rPr>
        <w:t>res stosowania</w:t>
      </w:r>
    </w:p>
    <w:p w:rsidR="00425401" w:rsidRPr="00C755BB" w:rsidRDefault="00176F4A" w:rsidP="00425401">
      <w:pPr>
        <w:pStyle w:val="NumPar1"/>
        <w:numPr>
          <w:ilvl w:val="0"/>
          <w:numId w:val="9"/>
        </w:numPr>
        <w:rPr>
          <w:noProof/>
        </w:rPr>
      </w:pPr>
      <w:r w:rsidRPr="00C755BB">
        <w:t>Niniejsze rozporządzenie ustanawia wspólne metody oceny bezpieczeństwa (CSM),</w:t>
      </w:r>
      <w:r w:rsidR="00CE7FBA" w:rsidRPr="00C755BB">
        <w:t xml:space="preserve"> o</w:t>
      </w:r>
      <w:r w:rsidR="00CE7FBA">
        <w:t> </w:t>
      </w:r>
      <w:r w:rsidR="00CE7FBA" w:rsidRPr="00C755BB">
        <w:t>któ</w:t>
      </w:r>
      <w:r w:rsidRPr="00C755BB">
        <w:t>rych mowa</w:t>
      </w:r>
      <w:r w:rsidR="00CE7FBA" w:rsidRPr="00C755BB">
        <w:t xml:space="preserve"> w</w:t>
      </w:r>
      <w:r w:rsidR="00CE7FBA">
        <w:t> </w:t>
      </w:r>
      <w:r w:rsidR="00CE7FBA" w:rsidRPr="00CE7FBA">
        <w:t>art</w:t>
      </w:r>
      <w:r w:rsidRPr="00CE7FBA">
        <w:t>.</w:t>
      </w:r>
      <w:r w:rsidR="00CE7FBA" w:rsidRPr="00CE7FBA">
        <w:t> </w:t>
      </w:r>
      <w:r w:rsidRPr="00CE7FBA">
        <w:t>6</w:t>
      </w:r>
      <w:r w:rsidRPr="00C755BB">
        <w:t xml:space="preserve"> </w:t>
      </w:r>
      <w:r w:rsidRPr="00CE7FBA">
        <w:t>ust.</w:t>
      </w:r>
      <w:r w:rsidR="00CE7FBA" w:rsidRPr="00CE7FBA">
        <w:t> </w:t>
      </w:r>
      <w:r w:rsidRPr="00CE7FBA">
        <w:t>1</w:t>
      </w:r>
      <w:r w:rsidRPr="00C755BB">
        <w:t xml:space="preserve"> </w:t>
      </w:r>
      <w:r w:rsidRPr="00CE7FBA">
        <w:t>lit.</w:t>
      </w:r>
      <w:r w:rsidR="00CE7FBA" w:rsidRPr="00CE7FBA">
        <w:t> </w:t>
      </w:r>
      <w:r w:rsidRPr="00CE7FBA">
        <w:t>f)</w:t>
      </w:r>
      <w:r w:rsidRPr="00C755BB">
        <w:t xml:space="preserve"> dyrektywy (UE) 2016/798,</w:t>
      </w:r>
      <w:r w:rsidR="00CE7FBA" w:rsidRPr="00C755BB">
        <w:t xml:space="preserve"> w</w:t>
      </w:r>
      <w:r w:rsidR="00CE7FBA">
        <w:t> </w:t>
      </w:r>
      <w:r w:rsidR="00CE7FBA" w:rsidRPr="00C755BB">
        <w:t>odn</w:t>
      </w:r>
      <w:r w:rsidRPr="00C755BB">
        <w:t>iesieniu do wymogów dotyczących systemu zarządzania bezpieczeństwem mających zastosowanie do przedsiębiorstw kolejowych</w:t>
      </w:r>
      <w:r w:rsidR="00CE7FBA" w:rsidRPr="00C755BB">
        <w:t xml:space="preserve"> i</w:t>
      </w:r>
      <w:r w:rsidR="00CE7FBA">
        <w:t> </w:t>
      </w:r>
      <w:r w:rsidR="00CE7FBA" w:rsidRPr="00C755BB">
        <w:t>zar</w:t>
      </w:r>
      <w:r w:rsidRPr="00C755BB">
        <w:t>ządców infrastruktury.</w:t>
      </w:r>
    </w:p>
    <w:p w:rsidR="00425401" w:rsidRPr="00C755BB" w:rsidRDefault="00425401" w:rsidP="00425401">
      <w:pPr>
        <w:pStyle w:val="NumPar1"/>
        <w:numPr>
          <w:ilvl w:val="0"/>
          <w:numId w:val="9"/>
        </w:numPr>
        <w:rPr>
          <w:noProof/>
        </w:rPr>
      </w:pPr>
      <w:r w:rsidRPr="00C755BB">
        <w:t>Niniejsze rozporządzenie stosuje się</w:t>
      </w:r>
      <w:r w:rsidR="00CE7FBA" w:rsidRPr="00C755BB">
        <w:t xml:space="preserve"> w</w:t>
      </w:r>
      <w:r w:rsidR="00CE7FBA">
        <w:t> </w:t>
      </w:r>
      <w:r w:rsidR="00CE7FBA" w:rsidRPr="00C755BB">
        <w:t>odn</w:t>
      </w:r>
      <w:r w:rsidRPr="00C755BB">
        <w:t>iesieniu do jednolitych certyfikatów bezpieczeństwa</w:t>
      </w:r>
      <w:r w:rsidR="00CE7FBA" w:rsidRPr="00C755BB">
        <w:t xml:space="preserve"> i</w:t>
      </w:r>
      <w:r w:rsidR="00CE7FBA">
        <w:t> </w:t>
      </w:r>
      <w:r w:rsidR="00CE7FBA" w:rsidRPr="00C755BB">
        <w:t>aut</w:t>
      </w:r>
      <w:r w:rsidRPr="00C755BB">
        <w:t>oryzacji</w:t>
      </w:r>
      <w:r w:rsidR="00CE7FBA" w:rsidRPr="00C755BB">
        <w:t xml:space="preserve"> w</w:t>
      </w:r>
      <w:r w:rsidR="00CE7FBA">
        <w:t> </w:t>
      </w:r>
      <w:r w:rsidR="00CE7FBA" w:rsidRPr="00C755BB">
        <w:t>zak</w:t>
      </w:r>
      <w:r w:rsidRPr="00C755BB">
        <w:t>resie bezpieczeństwa wydawanych na podstawie dyrektywy (UE) 2016/798.</w:t>
      </w:r>
    </w:p>
    <w:p w:rsidR="00912B9A" w:rsidRPr="00C755BB" w:rsidRDefault="00912B9A">
      <w:pPr>
        <w:pStyle w:val="Titrearticle"/>
        <w:rPr>
          <w:noProof/>
        </w:rPr>
      </w:pPr>
      <w:r w:rsidRPr="00C755BB">
        <w:t>Artykuł 2</w:t>
      </w:r>
    </w:p>
    <w:p w:rsidR="00912B9A" w:rsidRPr="00C755BB" w:rsidRDefault="003E467D" w:rsidP="00153A64">
      <w:pPr>
        <w:pStyle w:val="NormalCentered"/>
        <w:keepNext/>
        <w:rPr>
          <w:b/>
          <w:bCs/>
          <w:noProof/>
        </w:rPr>
      </w:pPr>
      <w:r w:rsidRPr="00C755BB">
        <w:rPr>
          <w:b/>
          <w:noProof/>
        </w:rPr>
        <w:t>Definicja</w:t>
      </w:r>
    </w:p>
    <w:p w:rsidR="00F30B3D" w:rsidRPr="00C755BB" w:rsidRDefault="00912B9A" w:rsidP="00CA0BD8">
      <w:pPr>
        <w:rPr>
          <w:noProof/>
        </w:rPr>
      </w:pPr>
      <w:r w:rsidRPr="00C755BB">
        <w:t>Do celów niniejszego rozporządzenia „organ ds. certyfikacji</w:t>
      </w:r>
      <w:r w:rsidR="00CE7FBA" w:rsidRPr="00C755BB">
        <w:t xml:space="preserve"> w</w:t>
      </w:r>
      <w:r w:rsidR="00CE7FBA">
        <w:t> </w:t>
      </w:r>
      <w:r w:rsidR="00CE7FBA" w:rsidRPr="00C755BB">
        <w:t>zak</w:t>
      </w:r>
      <w:r w:rsidRPr="00C755BB">
        <w:t>resie bezpieczeństwa” oznacza organ odpowiedzialny za wydanie jednolitego certyfikatu bezpieczeństwa – Agencję lub krajowy organ ds. bezpieczeństwa.</w:t>
      </w:r>
    </w:p>
    <w:p w:rsidR="00912B9A" w:rsidRPr="00C755BB" w:rsidRDefault="00912B9A">
      <w:pPr>
        <w:pStyle w:val="Titrearticle"/>
        <w:rPr>
          <w:noProof/>
        </w:rPr>
      </w:pPr>
      <w:r w:rsidRPr="00C755BB">
        <w:t>Artykuł 3</w:t>
      </w:r>
    </w:p>
    <w:p w:rsidR="00912B9A" w:rsidRPr="00C755BB" w:rsidRDefault="00FA1791">
      <w:pPr>
        <w:pStyle w:val="NormalCentered"/>
        <w:rPr>
          <w:b/>
          <w:bCs/>
          <w:noProof/>
        </w:rPr>
      </w:pPr>
      <w:r w:rsidRPr="00C755BB">
        <w:rPr>
          <w:b/>
          <w:noProof/>
        </w:rPr>
        <w:t>Wymogi dotyczące systemu zarządzania bezpieczeństwem mające zastosowanie do przedsiębiorstw kolejowych</w:t>
      </w:r>
    </w:p>
    <w:p w:rsidR="00B43634" w:rsidRPr="00C755BB" w:rsidRDefault="009A5C04" w:rsidP="00DF23A9">
      <w:r w:rsidRPr="00C755BB">
        <w:t>Przedsiębiorstwa kolejowe ustanawiają swoje systemy zarządzania bezpieczeństwem zgodnie</w:t>
      </w:r>
      <w:r w:rsidR="00CE7FBA" w:rsidRPr="00C755BB">
        <w:t xml:space="preserve"> z</w:t>
      </w:r>
      <w:r w:rsidR="00CE7FBA">
        <w:t> </w:t>
      </w:r>
      <w:r w:rsidR="00CE7FBA" w:rsidRPr="00C755BB">
        <w:t>wym</w:t>
      </w:r>
      <w:r w:rsidRPr="00C755BB">
        <w:t>ogami określonymi</w:t>
      </w:r>
      <w:r w:rsidR="00CE7FBA" w:rsidRPr="00C755BB">
        <w:t xml:space="preserve"> w</w:t>
      </w:r>
      <w:r w:rsidR="00CE7FBA">
        <w:t> </w:t>
      </w:r>
      <w:r w:rsidR="00CE7FBA" w:rsidRPr="00C755BB">
        <w:t>zał</w:t>
      </w:r>
      <w:r w:rsidRPr="00C755BB">
        <w:t>ączniku I.</w:t>
      </w:r>
    </w:p>
    <w:p w:rsidR="00EC13ED" w:rsidRPr="00C755BB" w:rsidRDefault="00EC13ED" w:rsidP="00DF23A9">
      <w:r w:rsidRPr="00C755BB">
        <w:t>Te wymogi dotyczące systemu zarządzania bezpieczeństwem mają zastosowanie do jednolitych certyfikatów bezpieczeństwa,</w:t>
      </w:r>
      <w:r w:rsidR="00CE7FBA" w:rsidRPr="00C755BB">
        <w:t xml:space="preserve"> o</w:t>
      </w:r>
      <w:r w:rsidR="00CE7FBA">
        <w:t> </w:t>
      </w:r>
      <w:r w:rsidR="00CE7FBA" w:rsidRPr="00C755BB">
        <w:t>któ</w:t>
      </w:r>
      <w:r w:rsidRPr="00C755BB">
        <w:t>rych mowa</w:t>
      </w:r>
      <w:r w:rsidR="00CE7FBA" w:rsidRPr="00C755BB">
        <w:t xml:space="preserve"> w</w:t>
      </w:r>
      <w:r w:rsidR="00CE7FBA">
        <w:t> </w:t>
      </w:r>
      <w:r w:rsidR="00CE7FBA" w:rsidRPr="00CE7FBA">
        <w:t>art</w:t>
      </w:r>
      <w:r w:rsidRPr="00CE7FBA">
        <w:t>.</w:t>
      </w:r>
      <w:r w:rsidR="00CE7FBA" w:rsidRPr="00CE7FBA">
        <w:t> </w:t>
      </w:r>
      <w:r w:rsidRPr="00CE7FBA">
        <w:t>1</w:t>
      </w:r>
      <w:r w:rsidRPr="00C755BB">
        <w:t>0 dyrektywy (UE) 2016/798, do celów oceny wniosków i do celów nadzoru.</w:t>
      </w:r>
    </w:p>
    <w:p w:rsidR="00912B9A" w:rsidRPr="00C755BB" w:rsidRDefault="00912B9A" w:rsidP="00862F1C">
      <w:pPr>
        <w:pStyle w:val="Titrearticle"/>
        <w:rPr>
          <w:noProof/>
        </w:rPr>
      </w:pPr>
      <w:r w:rsidRPr="00C755BB">
        <w:t>Artykuł 4</w:t>
      </w:r>
    </w:p>
    <w:p w:rsidR="006A6814" w:rsidRPr="00C755BB" w:rsidRDefault="006A6814" w:rsidP="00134EBC">
      <w:pPr>
        <w:jc w:val="center"/>
        <w:rPr>
          <w:b/>
        </w:rPr>
      </w:pPr>
      <w:r w:rsidRPr="00C755BB">
        <w:rPr>
          <w:b/>
        </w:rPr>
        <w:t>Wymogi dotyczące systemu zarządzania bezpieczeństwem mające zastosowanie do zarządców infrastruktury</w:t>
      </w:r>
    </w:p>
    <w:p w:rsidR="009A5C04" w:rsidRPr="00C755BB" w:rsidRDefault="009A5C04" w:rsidP="009A5C04">
      <w:r w:rsidRPr="00C755BB">
        <w:t>Zarządcy infrastruktury ustanawiają swoje systemy zarządzania bezpieczeństwem zgodnie</w:t>
      </w:r>
      <w:r w:rsidR="00CE7FBA" w:rsidRPr="00C755BB">
        <w:t xml:space="preserve"> z</w:t>
      </w:r>
      <w:r w:rsidR="00CE7FBA">
        <w:t> </w:t>
      </w:r>
      <w:r w:rsidR="00CE7FBA" w:rsidRPr="00C755BB">
        <w:t>wym</w:t>
      </w:r>
      <w:r w:rsidRPr="00C755BB">
        <w:t>ogami określonymi</w:t>
      </w:r>
      <w:r w:rsidR="00CE7FBA" w:rsidRPr="00C755BB">
        <w:t xml:space="preserve"> w</w:t>
      </w:r>
      <w:r w:rsidR="00CE7FBA">
        <w:t> </w:t>
      </w:r>
      <w:r w:rsidR="00CE7FBA" w:rsidRPr="00C755BB">
        <w:t>zał</w:t>
      </w:r>
      <w:r w:rsidRPr="00C755BB">
        <w:t>ączniku II.</w:t>
      </w:r>
    </w:p>
    <w:p w:rsidR="00C5782D" w:rsidRPr="00C755BB" w:rsidRDefault="00C5782D" w:rsidP="00DF23A9">
      <w:r w:rsidRPr="00C755BB">
        <w:t>Te wymogi dotyczące systemu zarządzania bezpieczeństwem mają zastosowanie do autoryzacji</w:t>
      </w:r>
      <w:r w:rsidR="00CE7FBA" w:rsidRPr="00C755BB">
        <w:t xml:space="preserve"> w</w:t>
      </w:r>
      <w:r w:rsidR="00CE7FBA">
        <w:t> </w:t>
      </w:r>
      <w:r w:rsidR="00CE7FBA" w:rsidRPr="00C755BB">
        <w:t>zak</w:t>
      </w:r>
      <w:r w:rsidRPr="00C755BB">
        <w:t>resie bezpieczeństwa,</w:t>
      </w:r>
      <w:r w:rsidR="00CE7FBA" w:rsidRPr="00C755BB">
        <w:t xml:space="preserve"> o</w:t>
      </w:r>
      <w:r w:rsidR="00CE7FBA">
        <w:t> </w:t>
      </w:r>
      <w:r w:rsidR="00CE7FBA" w:rsidRPr="00C755BB">
        <w:t>któ</w:t>
      </w:r>
      <w:r w:rsidRPr="00C755BB">
        <w:t>rych mowa</w:t>
      </w:r>
      <w:r w:rsidR="00CE7FBA" w:rsidRPr="00C755BB">
        <w:t xml:space="preserve"> w</w:t>
      </w:r>
      <w:r w:rsidR="00CE7FBA">
        <w:t> </w:t>
      </w:r>
      <w:r w:rsidR="00CE7FBA" w:rsidRPr="00CE7FBA">
        <w:t>art</w:t>
      </w:r>
      <w:r w:rsidRPr="00CE7FBA">
        <w:t>.</w:t>
      </w:r>
      <w:r w:rsidR="00CE7FBA" w:rsidRPr="00CE7FBA">
        <w:t> </w:t>
      </w:r>
      <w:r w:rsidRPr="00CE7FBA">
        <w:t>1</w:t>
      </w:r>
      <w:r w:rsidRPr="00C755BB">
        <w:t>2 dyrektywy (UE) 2016/798, do celów oceny wniosków</w:t>
      </w:r>
      <w:r w:rsidR="00CE7FBA" w:rsidRPr="00C755BB">
        <w:t xml:space="preserve"> i</w:t>
      </w:r>
      <w:r w:rsidR="00CE7FBA">
        <w:t> </w:t>
      </w:r>
      <w:r w:rsidR="00CE7FBA" w:rsidRPr="00C755BB">
        <w:t>nad</w:t>
      </w:r>
      <w:r w:rsidRPr="00C755BB">
        <w:t>zoru.</w:t>
      </w:r>
    </w:p>
    <w:p w:rsidR="00912B9A" w:rsidRPr="00C755BB" w:rsidRDefault="00912B9A" w:rsidP="004558ED">
      <w:pPr>
        <w:pStyle w:val="Titrearticle"/>
        <w:rPr>
          <w:noProof/>
        </w:rPr>
      </w:pPr>
      <w:r w:rsidRPr="00C755BB">
        <w:t>Artykuł 5</w:t>
      </w:r>
    </w:p>
    <w:p w:rsidR="00912B9A" w:rsidRPr="00C755BB" w:rsidRDefault="00912B9A" w:rsidP="004558ED">
      <w:pPr>
        <w:pStyle w:val="NormalCentered"/>
        <w:rPr>
          <w:b/>
          <w:bCs/>
          <w:noProof/>
        </w:rPr>
      </w:pPr>
      <w:r w:rsidRPr="00C755BB">
        <w:rPr>
          <w:b/>
          <w:noProof/>
        </w:rPr>
        <w:t>Uchylenie</w:t>
      </w:r>
    </w:p>
    <w:p w:rsidR="00DF3E23" w:rsidRPr="00C755BB" w:rsidRDefault="00DF3E23" w:rsidP="00D047BB">
      <w:r w:rsidRPr="00C755BB">
        <w:t xml:space="preserve">Rozporządzenia (UE) </w:t>
      </w:r>
      <w:r w:rsidRPr="00CE7FBA">
        <w:t>nr</w:t>
      </w:r>
      <w:r w:rsidR="00CE7FBA" w:rsidRPr="00CE7FBA">
        <w:t> </w:t>
      </w:r>
      <w:r w:rsidRPr="00CE7FBA">
        <w:t>1</w:t>
      </w:r>
      <w:r w:rsidRPr="00C755BB">
        <w:t xml:space="preserve">158/2010 i (UE) </w:t>
      </w:r>
      <w:r w:rsidRPr="00CE7FBA">
        <w:t>nr</w:t>
      </w:r>
      <w:r w:rsidR="00CE7FBA" w:rsidRPr="00CE7FBA">
        <w:t> </w:t>
      </w:r>
      <w:r w:rsidRPr="00CE7FBA">
        <w:t>1</w:t>
      </w:r>
      <w:r w:rsidRPr="00C755BB">
        <w:t>169/2010 tracą moc</w:t>
      </w:r>
      <w:r w:rsidR="00CE7FBA" w:rsidRPr="00C755BB">
        <w:t xml:space="preserve"> z</w:t>
      </w:r>
      <w:r w:rsidR="00CE7FBA">
        <w:t> </w:t>
      </w:r>
      <w:r w:rsidR="00CE7FBA" w:rsidRPr="00C755BB">
        <w:t>dni</w:t>
      </w:r>
      <w:r w:rsidRPr="00C755BB">
        <w:t>em 16 czerwca 20</w:t>
      </w:r>
      <w:r w:rsidRPr="00CE7FBA">
        <w:t>25</w:t>
      </w:r>
      <w:r w:rsidR="00CE7FBA" w:rsidRPr="00CE7FBA">
        <w:t> </w:t>
      </w:r>
      <w:r w:rsidRPr="00CE7FBA">
        <w:t>r.</w:t>
      </w:r>
    </w:p>
    <w:p w:rsidR="00912B9A" w:rsidRPr="00C755BB" w:rsidRDefault="00912B9A">
      <w:pPr>
        <w:pStyle w:val="Titrearticle"/>
        <w:rPr>
          <w:noProof/>
        </w:rPr>
      </w:pPr>
      <w:r w:rsidRPr="00C755BB">
        <w:t>Artykuł 6</w:t>
      </w:r>
    </w:p>
    <w:p w:rsidR="00912B9A" w:rsidRPr="00C755BB" w:rsidRDefault="00912B9A">
      <w:pPr>
        <w:pStyle w:val="NormalCentered"/>
        <w:rPr>
          <w:b/>
          <w:bCs/>
          <w:noProof/>
        </w:rPr>
      </w:pPr>
      <w:r w:rsidRPr="00C755BB">
        <w:rPr>
          <w:b/>
          <w:noProof/>
        </w:rPr>
        <w:t>Wejście</w:t>
      </w:r>
      <w:r w:rsidR="00CE7FBA" w:rsidRPr="00C755BB">
        <w:rPr>
          <w:b/>
          <w:noProof/>
        </w:rPr>
        <w:t xml:space="preserve"> w</w:t>
      </w:r>
      <w:r w:rsidR="00CE7FBA">
        <w:rPr>
          <w:b/>
          <w:noProof/>
        </w:rPr>
        <w:t> </w:t>
      </w:r>
      <w:r w:rsidR="00CE7FBA" w:rsidRPr="00C755BB">
        <w:rPr>
          <w:b/>
          <w:noProof/>
        </w:rPr>
        <w:t>życ</w:t>
      </w:r>
      <w:r w:rsidRPr="00C755BB">
        <w:rPr>
          <w:b/>
          <w:noProof/>
        </w:rPr>
        <w:t>ie</w:t>
      </w:r>
      <w:r w:rsidR="00CE7FBA" w:rsidRPr="00C755BB">
        <w:rPr>
          <w:b/>
          <w:noProof/>
        </w:rPr>
        <w:t xml:space="preserve"> i</w:t>
      </w:r>
      <w:r w:rsidR="00CE7FBA">
        <w:rPr>
          <w:b/>
          <w:noProof/>
        </w:rPr>
        <w:t> </w:t>
      </w:r>
      <w:r w:rsidR="00CE7FBA" w:rsidRPr="00C755BB">
        <w:rPr>
          <w:b/>
          <w:noProof/>
        </w:rPr>
        <w:t>sto</w:t>
      </w:r>
      <w:r w:rsidRPr="00C755BB">
        <w:rPr>
          <w:b/>
          <w:noProof/>
        </w:rPr>
        <w:t>sowanie</w:t>
      </w:r>
    </w:p>
    <w:p w:rsidR="00912B9A" w:rsidRPr="00C755BB" w:rsidRDefault="00912B9A">
      <w:pPr>
        <w:rPr>
          <w:noProof/>
        </w:rPr>
      </w:pPr>
      <w:r w:rsidRPr="00C755BB">
        <w:t>Niniejsze rozporządzenie wchodzi</w:t>
      </w:r>
      <w:r w:rsidR="00CE7FBA" w:rsidRPr="00C755BB">
        <w:t xml:space="preserve"> w</w:t>
      </w:r>
      <w:r w:rsidR="00CE7FBA">
        <w:t> </w:t>
      </w:r>
      <w:r w:rsidR="00CE7FBA" w:rsidRPr="00C755BB">
        <w:t>życ</w:t>
      </w:r>
      <w:r w:rsidRPr="00C755BB">
        <w:t>ie dwudziestego dnia po jego opublikowaniu</w:t>
      </w:r>
      <w:r w:rsidR="00CE7FBA" w:rsidRPr="00C755BB">
        <w:t xml:space="preserve"> w</w:t>
      </w:r>
      <w:r w:rsidR="00CE7FBA">
        <w:t> </w:t>
      </w:r>
      <w:r w:rsidR="00CE7FBA" w:rsidRPr="00C755BB">
        <w:rPr>
          <w:i/>
        </w:rPr>
        <w:t>Dzi</w:t>
      </w:r>
      <w:r w:rsidRPr="00C755BB">
        <w:rPr>
          <w:i/>
        </w:rPr>
        <w:t>enniku Urzędowym Unii Europejskiej</w:t>
      </w:r>
      <w:r w:rsidRPr="00C755BB">
        <w:t>.</w:t>
      </w:r>
    </w:p>
    <w:p w:rsidR="00912B9A" w:rsidRPr="00C755BB" w:rsidRDefault="00912B9A">
      <w:pPr>
        <w:rPr>
          <w:noProof/>
        </w:rPr>
      </w:pPr>
      <w:r w:rsidRPr="00C755BB">
        <w:t>Niniejsze rozporządzenie stosuje się od dnia 16 czerwca 20</w:t>
      </w:r>
      <w:r w:rsidRPr="00CE7FBA">
        <w:t>19</w:t>
      </w:r>
      <w:r w:rsidR="00CE7FBA" w:rsidRPr="00CE7FBA">
        <w:t> </w:t>
      </w:r>
      <w:r w:rsidRPr="00CE7FBA">
        <w:t>r.</w:t>
      </w:r>
      <w:r w:rsidR="00CE7FBA" w:rsidRPr="00C755BB">
        <w:t xml:space="preserve"> w</w:t>
      </w:r>
      <w:r w:rsidR="00CE7FBA">
        <w:t> </w:t>
      </w:r>
      <w:r w:rsidR="00CE7FBA" w:rsidRPr="00C755BB">
        <w:t>tyc</w:t>
      </w:r>
      <w:r w:rsidRPr="00C755BB">
        <w:t>h państwach członkowskich, które nie powiadomiły Agencji</w:t>
      </w:r>
      <w:r w:rsidR="00CE7FBA" w:rsidRPr="00C755BB">
        <w:t xml:space="preserve"> i</w:t>
      </w:r>
      <w:r w:rsidR="00CE7FBA">
        <w:t> </w:t>
      </w:r>
      <w:r w:rsidR="00CE7FBA" w:rsidRPr="00C755BB">
        <w:t>Kom</w:t>
      </w:r>
      <w:r w:rsidRPr="00C755BB">
        <w:t>isji zgodnie</w:t>
      </w:r>
      <w:r w:rsidR="00CE7FBA" w:rsidRPr="00C755BB">
        <w:t xml:space="preserve"> z</w:t>
      </w:r>
      <w:r w:rsidR="00CE7FBA">
        <w:t> </w:t>
      </w:r>
      <w:r w:rsidR="00CE7FBA" w:rsidRPr="00CE7FBA">
        <w:t>art</w:t>
      </w:r>
      <w:r w:rsidRPr="00CE7FBA">
        <w:t>.</w:t>
      </w:r>
      <w:r w:rsidR="00CE7FBA" w:rsidRPr="00CE7FBA">
        <w:t> </w:t>
      </w:r>
      <w:r w:rsidRPr="00CE7FBA">
        <w:t>3</w:t>
      </w:r>
      <w:r w:rsidRPr="00C755BB">
        <w:t xml:space="preserve">3 </w:t>
      </w:r>
      <w:r w:rsidRPr="00CE7FBA">
        <w:t>ust.</w:t>
      </w:r>
      <w:r w:rsidR="00CE7FBA" w:rsidRPr="00CE7FBA">
        <w:t> </w:t>
      </w:r>
      <w:r w:rsidRPr="00CE7FBA">
        <w:t>2</w:t>
      </w:r>
      <w:r w:rsidRPr="00C755BB">
        <w:t xml:space="preserve"> dyrektywy (UE) 2016/798. Niniejsze rozporządzenie stosuje się we wszystkich państwach członkowskich od dnia 16 czerwca 20</w:t>
      </w:r>
      <w:r w:rsidRPr="00CE7FBA">
        <w:t>20</w:t>
      </w:r>
      <w:r w:rsidR="00CE7FBA" w:rsidRPr="00CE7FBA">
        <w:t> </w:t>
      </w:r>
      <w:r w:rsidRPr="00CE7FBA">
        <w:t>r.</w:t>
      </w:r>
    </w:p>
    <w:p w:rsidR="00912B9A" w:rsidRPr="00C755BB" w:rsidRDefault="00912B9A">
      <w:pPr>
        <w:pStyle w:val="Applicationdirecte"/>
        <w:rPr>
          <w:noProof/>
        </w:rPr>
      </w:pPr>
      <w:r w:rsidRPr="00C755BB">
        <w:t>Niniejsze rozporządzenie wiąże</w:t>
      </w:r>
      <w:r w:rsidR="00CE7FBA" w:rsidRPr="00C755BB">
        <w:t xml:space="preserve"> w</w:t>
      </w:r>
      <w:r w:rsidR="00CE7FBA">
        <w:t> </w:t>
      </w:r>
      <w:r w:rsidR="00CE7FBA" w:rsidRPr="00C755BB">
        <w:t>cał</w:t>
      </w:r>
      <w:r w:rsidRPr="00C755BB">
        <w:t>ości</w:t>
      </w:r>
      <w:r w:rsidR="00CE7FBA" w:rsidRPr="00C755BB">
        <w:t xml:space="preserve"> i</w:t>
      </w:r>
      <w:r w:rsidR="00CE7FBA">
        <w:t> </w:t>
      </w:r>
      <w:r w:rsidR="00CE7FBA" w:rsidRPr="00C755BB">
        <w:t>jes</w:t>
      </w:r>
      <w:r w:rsidRPr="00C755BB">
        <w:t>t bezpośrednio stosowane we wszystkich państwach członkowskich.</w:t>
      </w:r>
    </w:p>
    <w:p w:rsidR="00912B9A" w:rsidRPr="00C755BB" w:rsidRDefault="00CE7FBA" w:rsidP="00CE7FBA">
      <w:pPr>
        <w:pStyle w:val="Fait"/>
        <w:rPr>
          <w:noProof/>
        </w:rPr>
      </w:pPr>
      <w:r w:rsidRPr="00CE7FBA">
        <w:t xml:space="preserve">Sporządzono w Brukseli dnia </w:t>
      </w:r>
      <w:r w:rsidRPr="00CE7FBA">
        <w:rPr>
          <w:rStyle w:val="Marker"/>
        </w:rPr>
        <w:t>[…]</w:t>
      </w:r>
      <w:r w:rsidRPr="00CE7FBA">
        <w:t xml:space="preserve"> r.</w:t>
      </w:r>
    </w:p>
    <w:p w:rsidR="007E2FD7" w:rsidRPr="00C755BB" w:rsidRDefault="007E2FD7" w:rsidP="007E2FD7">
      <w:pPr>
        <w:pStyle w:val="Institutionquisigne"/>
      </w:pPr>
      <w:r w:rsidRPr="00C755BB">
        <w:tab/>
        <w:t>W imieniu Komisji</w:t>
      </w:r>
    </w:p>
    <w:p w:rsidR="007E2FD7" w:rsidRPr="00C755BB" w:rsidRDefault="007E2FD7" w:rsidP="007E2FD7">
      <w:pPr>
        <w:pStyle w:val="Personnequisigne"/>
      </w:pPr>
      <w:r w:rsidRPr="00C755BB">
        <w:tab/>
        <w:t>Przewodniczący</w:t>
      </w:r>
      <w:r w:rsidRPr="00C755BB">
        <w:br/>
      </w:r>
      <w:r w:rsidRPr="00C755BB">
        <w:tab/>
        <w:t>Jean-Claude Juncker</w:t>
      </w:r>
    </w:p>
    <w:sectPr w:rsidR="007E2FD7" w:rsidRPr="00C755BB" w:rsidSect="00CE7FBA">
      <w:pgSz w:w="11907" w:h="16839"/>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2F" w:rsidRDefault="00166B2F" w:rsidP="00912B9A">
      <w:pPr>
        <w:spacing w:before="0" w:after="0"/>
      </w:pPr>
      <w:r>
        <w:separator/>
      </w:r>
    </w:p>
  </w:endnote>
  <w:endnote w:type="continuationSeparator" w:id="0">
    <w:p w:rsidR="00166B2F" w:rsidRDefault="00166B2F" w:rsidP="00912B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Times New Roman Bold"/>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BA" w:rsidRPr="00CE7FBA" w:rsidRDefault="00CE7FBA" w:rsidP="00CE7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22" w:rsidRPr="00CE7FBA" w:rsidRDefault="00CE7FBA" w:rsidP="00CE7FBA">
    <w:pPr>
      <w:pStyle w:val="Footer"/>
      <w:rPr>
        <w:rFonts w:ascii="Arial" w:hAnsi="Arial" w:cs="Arial"/>
        <w:b/>
        <w:sz w:val="48"/>
      </w:rPr>
    </w:pPr>
    <w:r w:rsidRPr="00CE7FBA">
      <w:rPr>
        <w:rFonts w:ascii="Arial" w:hAnsi="Arial" w:cs="Arial"/>
        <w:b/>
        <w:sz w:val="48"/>
      </w:rPr>
      <w:t>PL</w:t>
    </w:r>
    <w:r w:rsidRPr="00CE7FBA">
      <w:rPr>
        <w:rFonts w:ascii="Arial" w:hAnsi="Arial" w:cs="Arial"/>
        <w:b/>
        <w:sz w:val="48"/>
      </w:rPr>
      <w:tab/>
    </w:r>
    <w:r w:rsidRPr="00CE7FBA">
      <w:rPr>
        <w:rFonts w:ascii="Arial" w:hAnsi="Arial" w:cs="Arial"/>
        <w:b/>
        <w:sz w:val="48"/>
      </w:rPr>
      <w:tab/>
    </w:r>
    <w:r w:rsidRPr="00CE7FBA">
      <w:tab/>
    </w:r>
    <w:r w:rsidRPr="00CE7FBA">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BA" w:rsidRPr="00CE7FBA" w:rsidRDefault="00CE7FBA" w:rsidP="00CE7F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BA" w:rsidRPr="00CE7FBA" w:rsidRDefault="00CE7FBA" w:rsidP="00CE7FBA">
    <w:pPr>
      <w:pStyle w:val="Footer"/>
      <w:rPr>
        <w:rFonts w:ascii="Arial" w:hAnsi="Arial" w:cs="Arial"/>
        <w:b/>
        <w:sz w:val="48"/>
      </w:rPr>
    </w:pPr>
    <w:r w:rsidRPr="00CE7FBA">
      <w:rPr>
        <w:rFonts w:ascii="Arial" w:hAnsi="Arial" w:cs="Arial"/>
        <w:b/>
        <w:sz w:val="48"/>
      </w:rPr>
      <w:t>PL</w:t>
    </w:r>
    <w:r w:rsidRPr="00CE7FBA">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rsidRPr="00CE7FBA">
      <w:tab/>
    </w:r>
    <w:r w:rsidRPr="00CE7FBA">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BA" w:rsidRPr="00CE7FBA" w:rsidRDefault="00CE7FBA" w:rsidP="00CE7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2F" w:rsidRDefault="00166B2F" w:rsidP="00912B9A">
      <w:pPr>
        <w:spacing w:before="0" w:after="0"/>
      </w:pPr>
      <w:r>
        <w:separator/>
      </w:r>
    </w:p>
  </w:footnote>
  <w:footnote w:type="continuationSeparator" w:id="0">
    <w:p w:rsidR="00166B2F" w:rsidRDefault="00166B2F" w:rsidP="00912B9A">
      <w:pPr>
        <w:spacing w:before="0" w:after="0"/>
      </w:pPr>
      <w:r>
        <w:continuationSeparator/>
      </w:r>
    </w:p>
  </w:footnote>
  <w:footnote w:id="1">
    <w:p w:rsidR="00AC5B2D" w:rsidRPr="004D1BB5" w:rsidRDefault="00AC5B2D" w:rsidP="00AC5B2D">
      <w:pPr>
        <w:pStyle w:val="FootnoteText"/>
      </w:pPr>
      <w:r>
        <w:rPr>
          <w:rStyle w:val="FootnoteReference"/>
        </w:rPr>
        <w:footnoteRef/>
      </w:r>
      <w:r>
        <w:tab/>
        <w:t>Dz.U. L 326</w:t>
      </w:r>
      <w:r w:rsidR="00CE7FBA">
        <w:t xml:space="preserve"> z 1</w:t>
      </w:r>
      <w:r>
        <w:t>0.12.2010, s. 11.</w:t>
      </w:r>
    </w:p>
  </w:footnote>
  <w:footnote w:id="2">
    <w:p w:rsidR="00AC5B2D" w:rsidRPr="004D1BB5" w:rsidRDefault="00AC5B2D" w:rsidP="00AC5B2D">
      <w:pPr>
        <w:pStyle w:val="FootnoteText"/>
      </w:pPr>
      <w:r>
        <w:rPr>
          <w:rStyle w:val="FootnoteReference"/>
        </w:rPr>
        <w:footnoteRef/>
      </w:r>
      <w:r>
        <w:tab/>
        <w:t>Dz.U. L 327</w:t>
      </w:r>
      <w:r w:rsidR="00CE7FBA">
        <w:t xml:space="preserve"> z 1</w:t>
      </w:r>
      <w:r>
        <w:t>1.12.2010, s. 13.</w:t>
      </w:r>
    </w:p>
  </w:footnote>
  <w:footnote w:id="3">
    <w:p w:rsidR="00AC5B2D" w:rsidRPr="00AC5B2D" w:rsidRDefault="00AC5B2D" w:rsidP="00AC5B2D">
      <w:pPr>
        <w:pStyle w:val="FootnoteText"/>
      </w:pPr>
      <w:r>
        <w:rPr>
          <w:rStyle w:val="FootnoteReference"/>
        </w:rPr>
        <w:footnoteRef/>
      </w:r>
      <w:r>
        <w:tab/>
        <w:t>Dz.U. L 320</w:t>
      </w:r>
      <w:r w:rsidR="00CE7FBA">
        <w:t xml:space="preserve"> z 1</w:t>
      </w:r>
      <w:r>
        <w:t>7.11.2012, s. 3.</w:t>
      </w:r>
    </w:p>
  </w:footnote>
  <w:footnote w:id="4">
    <w:p w:rsidR="00912B9A" w:rsidRPr="00435389" w:rsidRDefault="00912B9A">
      <w:pPr>
        <w:pStyle w:val="FootnoteText"/>
      </w:pPr>
      <w:r>
        <w:rPr>
          <w:rStyle w:val="FootnoteReference"/>
        </w:rPr>
        <w:footnoteRef/>
      </w:r>
      <w:r>
        <w:tab/>
        <w:t>Dz.U. L 138</w:t>
      </w:r>
      <w:r w:rsidR="00CE7FBA">
        <w:t xml:space="preserve"> z 2</w:t>
      </w:r>
      <w:r>
        <w:t>6.5.2016, s. 102.</w:t>
      </w:r>
    </w:p>
  </w:footnote>
  <w:footnote w:id="5">
    <w:p w:rsidR="008E516B" w:rsidRPr="00F26FEC" w:rsidRDefault="008E516B" w:rsidP="008E516B">
      <w:pPr>
        <w:pStyle w:val="FootnoteText"/>
      </w:pPr>
      <w:r>
        <w:rPr>
          <w:rStyle w:val="FootnoteReference"/>
        </w:rPr>
        <w:footnoteRef/>
      </w:r>
      <w:r>
        <w:tab/>
        <w:t>Decyzja wykonawcza Komisji</w:t>
      </w:r>
      <w:r w:rsidR="00CE7FBA">
        <w:t xml:space="preserve"> z dni</w:t>
      </w:r>
      <w:r>
        <w:t>a 1 września 20</w:t>
      </w:r>
      <w:r w:rsidRPr="00CE7FBA">
        <w:t>16</w:t>
      </w:r>
      <w:r w:rsidR="00CE7FBA" w:rsidRPr="00CE7FBA">
        <w:t> </w:t>
      </w:r>
      <w:r w:rsidRPr="00CE7FBA">
        <w:t>r.</w:t>
      </w:r>
      <w:r w:rsidR="00CE7FBA">
        <w:t xml:space="preserve"> w spr</w:t>
      </w:r>
      <w:r>
        <w:t>awie udzielenia Agencji Kolejowej Unii Europejskiej upoważnienia do opracowania projektu zmian we wspólnych metodach oceny bezpieczeństwa</w:t>
      </w:r>
      <w:r w:rsidR="00CE7FBA">
        <w:t xml:space="preserve"> w odn</w:t>
      </w:r>
      <w:r>
        <w:t>iesieniu do oceny zgodności i we wspólnej metodzie oceny bezpieczeństwa</w:t>
      </w:r>
      <w:r w:rsidR="00CE7FBA">
        <w:t xml:space="preserve"> w odn</w:t>
      </w:r>
      <w:r>
        <w:t>iesieniu do nadzoru oraz uchylająca decyzję wykonawczą C(2014) 1649 final, C(2016) 5504 final.</w:t>
      </w:r>
    </w:p>
  </w:footnote>
  <w:footnote w:id="6">
    <w:p w:rsidR="00912B9A" w:rsidRPr="00435389" w:rsidRDefault="00912B9A" w:rsidP="00D0499B">
      <w:pPr>
        <w:pStyle w:val="FootnoteText"/>
      </w:pPr>
      <w:r>
        <w:rPr>
          <w:rStyle w:val="FootnoteReference"/>
        </w:rPr>
        <w:footnoteRef/>
      </w:r>
      <w:r>
        <w:tab/>
        <w:t xml:space="preserve">Rozporządzenie Komisji (UE) </w:t>
      </w:r>
      <w:r w:rsidRPr="00CE7FBA">
        <w:t>nr</w:t>
      </w:r>
      <w:r w:rsidR="00CE7FBA" w:rsidRPr="00CE7FBA">
        <w:t> </w:t>
      </w:r>
      <w:r w:rsidRPr="00CE7FBA">
        <w:t>1</w:t>
      </w:r>
      <w:r>
        <w:t>158/2010</w:t>
      </w:r>
      <w:r w:rsidR="00CE7FBA">
        <w:t xml:space="preserve"> z dni</w:t>
      </w:r>
      <w:r>
        <w:t>a 9 grudnia 20</w:t>
      </w:r>
      <w:r w:rsidRPr="00CE7FBA">
        <w:t>10</w:t>
      </w:r>
      <w:r w:rsidR="00CE7FBA" w:rsidRPr="00CE7FBA">
        <w:t> </w:t>
      </w:r>
      <w:r w:rsidRPr="00CE7FBA">
        <w:t>r.</w:t>
      </w:r>
      <w:r w:rsidR="00CE7FBA">
        <w:t xml:space="preserve"> w spr</w:t>
      </w:r>
      <w:r>
        <w:t>awie wspólnej metody oceny bezpieczeństwa</w:t>
      </w:r>
      <w:r w:rsidR="00CE7FBA">
        <w:t xml:space="preserve"> w odn</w:t>
      </w:r>
      <w:r>
        <w:t>iesieniu do zgodności</w:t>
      </w:r>
      <w:r w:rsidR="00CE7FBA">
        <w:t xml:space="preserve"> z wym</w:t>
      </w:r>
      <w:r>
        <w:t>ogami dotyczącymi uzyskania kolejowych certyfikatów bezpieczeństwa, Dz.U. L 326</w:t>
      </w:r>
      <w:r w:rsidR="00CE7FBA">
        <w:t xml:space="preserve"> z 1</w:t>
      </w:r>
      <w:r>
        <w:t>0.12.2010, s. 11.</w:t>
      </w:r>
    </w:p>
  </w:footnote>
  <w:footnote w:id="7">
    <w:p w:rsidR="00912B9A" w:rsidRPr="00435389" w:rsidRDefault="00912B9A" w:rsidP="00D0499B">
      <w:pPr>
        <w:pStyle w:val="FootnoteText"/>
      </w:pPr>
      <w:r>
        <w:rPr>
          <w:rStyle w:val="FootnoteReference"/>
        </w:rPr>
        <w:footnoteRef/>
      </w:r>
      <w:r>
        <w:tab/>
        <w:t xml:space="preserve">Rozporządzenie Komisji (UE) </w:t>
      </w:r>
      <w:r w:rsidRPr="00CE7FBA">
        <w:t>nr</w:t>
      </w:r>
      <w:r w:rsidR="00CE7FBA" w:rsidRPr="00CE7FBA">
        <w:t> </w:t>
      </w:r>
      <w:r w:rsidRPr="00CE7FBA">
        <w:t>1</w:t>
      </w:r>
      <w:r>
        <w:t>169/2010</w:t>
      </w:r>
      <w:r w:rsidR="00CE7FBA">
        <w:t xml:space="preserve"> z dni</w:t>
      </w:r>
      <w:r>
        <w:t>a 10 grudnia 20</w:t>
      </w:r>
      <w:r w:rsidRPr="00CE7FBA">
        <w:t>10</w:t>
      </w:r>
      <w:r w:rsidR="00CE7FBA" w:rsidRPr="00CE7FBA">
        <w:t> </w:t>
      </w:r>
      <w:r w:rsidRPr="00CE7FBA">
        <w:t>r.</w:t>
      </w:r>
      <w:r w:rsidR="00CE7FBA">
        <w:t xml:space="preserve"> w spr</w:t>
      </w:r>
      <w:r>
        <w:t>awie wspólnej metody oceny bezpieczeństwa</w:t>
      </w:r>
      <w:r w:rsidR="00CE7FBA">
        <w:t xml:space="preserve"> w odn</w:t>
      </w:r>
      <w:r>
        <w:t>iesieniu do zgodności</w:t>
      </w:r>
      <w:r w:rsidR="00CE7FBA">
        <w:t xml:space="preserve"> z wym</w:t>
      </w:r>
      <w:r>
        <w:t>ogami dotyczącymi uzyskania kolejowych autoryzacji</w:t>
      </w:r>
      <w:r w:rsidR="00CE7FBA">
        <w:t xml:space="preserve"> w zak</w:t>
      </w:r>
      <w:r>
        <w:t>resie bezpieczeństwa, Dz.U. L 327</w:t>
      </w:r>
      <w:r w:rsidR="00CE7FBA">
        <w:t xml:space="preserve"> z 1</w:t>
      </w:r>
      <w:r>
        <w:t>1.12.2010, s. 13.</w:t>
      </w:r>
    </w:p>
  </w:footnote>
  <w:footnote w:id="8">
    <w:p w:rsidR="00912B9A" w:rsidRPr="00435389" w:rsidRDefault="00912B9A" w:rsidP="00D0499B">
      <w:pPr>
        <w:pStyle w:val="FootnoteText"/>
      </w:pPr>
      <w:r>
        <w:rPr>
          <w:rStyle w:val="FootnoteReference"/>
        </w:rPr>
        <w:footnoteRef/>
      </w:r>
      <w:r>
        <w:tab/>
        <w:t xml:space="preserve">Rozporządzenie Komisji (UE) </w:t>
      </w:r>
      <w:r w:rsidRPr="00CE7FBA">
        <w:t>nr</w:t>
      </w:r>
      <w:r w:rsidR="00CE7FBA" w:rsidRPr="00CE7FBA">
        <w:t> </w:t>
      </w:r>
      <w:r w:rsidRPr="00CE7FBA">
        <w:t>1</w:t>
      </w:r>
      <w:r>
        <w:t>077/2012</w:t>
      </w:r>
      <w:r w:rsidR="00CE7FBA">
        <w:t xml:space="preserve"> z dni</w:t>
      </w:r>
      <w:r>
        <w:t>a 16 listopada 20</w:t>
      </w:r>
      <w:r w:rsidRPr="00CE7FBA">
        <w:t>12</w:t>
      </w:r>
      <w:r w:rsidR="00CE7FBA" w:rsidRPr="00CE7FBA">
        <w:t> </w:t>
      </w:r>
      <w:r w:rsidRPr="00CE7FBA">
        <w:t>r.</w:t>
      </w:r>
      <w:r w:rsidR="00CE7FBA">
        <w:t xml:space="preserve"> w spr</w:t>
      </w:r>
      <w:r>
        <w:t>awie wspólnej metody oceny bezpieczeństwa</w:t>
      </w:r>
      <w:r w:rsidR="00CE7FBA">
        <w:t xml:space="preserve"> w odn</w:t>
      </w:r>
      <w:r>
        <w:t>iesieniu do nadzoru sprawowanego przez krajowe organy ds. bezpieczeństwa po wydaniu certyfikatu bezpieczeństwa lub autoryzacji bezpieczeństwa, Dz.U. L 320</w:t>
      </w:r>
      <w:r w:rsidR="00CE7FBA">
        <w:t xml:space="preserve"> z 1</w:t>
      </w:r>
      <w:r>
        <w:t>7.11.2012, s. 3.</w:t>
      </w:r>
    </w:p>
  </w:footnote>
  <w:footnote w:id="9">
    <w:p w:rsidR="00912B9A" w:rsidRPr="00C755BB" w:rsidRDefault="00912B9A">
      <w:pPr>
        <w:pStyle w:val="FootnoteText"/>
      </w:pPr>
      <w:r>
        <w:rPr>
          <w:rStyle w:val="FootnoteReference"/>
        </w:rPr>
        <w:footnoteRef/>
      </w:r>
      <w:r>
        <w:tab/>
        <w:t>ISO/IEC Directives, Part 1, consolidated supplement 2016, Annex SL Appendix 2 (Dyrektywy ISO/IEC, Część 1, Skonsolidowany Suplement 2016, Załącznik SL, Dodatek 2).</w:t>
      </w:r>
    </w:p>
  </w:footnote>
  <w:footnote w:id="10">
    <w:p w:rsidR="00912B9A" w:rsidRPr="00812214" w:rsidRDefault="00912B9A">
      <w:pPr>
        <w:pStyle w:val="FootnoteText"/>
      </w:pPr>
      <w:r>
        <w:rPr>
          <w:rStyle w:val="FootnoteReference"/>
        </w:rPr>
        <w:footnoteRef/>
      </w:r>
      <w:r>
        <w:tab/>
        <w:t>Dyrektywa Rady 89/391/EWG</w:t>
      </w:r>
      <w:r w:rsidR="00CE7FBA">
        <w:t xml:space="preserve"> z dni</w:t>
      </w:r>
      <w:r>
        <w:t>a 12 czerwca 19</w:t>
      </w:r>
      <w:r w:rsidRPr="00CE7FBA">
        <w:t>89</w:t>
      </w:r>
      <w:r w:rsidR="00CE7FBA" w:rsidRPr="00CE7FBA">
        <w:t> </w:t>
      </w:r>
      <w:r w:rsidRPr="00CE7FBA">
        <w:t>r.</w:t>
      </w:r>
      <w:r w:rsidR="00CE7FBA">
        <w:t xml:space="preserve"> w spr</w:t>
      </w:r>
      <w:r>
        <w:t>awie wprowadzenia środków</w:t>
      </w:r>
      <w:r w:rsidR="00CE7FBA">
        <w:t xml:space="preserve"> w cel</w:t>
      </w:r>
      <w:r>
        <w:t>u poprawy bezpieczeństwa</w:t>
      </w:r>
      <w:r w:rsidR="00CE7FBA">
        <w:t xml:space="preserve"> i zdr</w:t>
      </w:r>
      <w:r>
        <w:t>owia pracowników</w:t>
      </w:r>
      <w:r w:rsidR="00CE7FBA">
        <w:t xml:space="preserve"> w mie</w:t>
      </w:r>
      <w:r>
        <w:t>jscu pracy, Dz.U. L 183</w:t>
      </w:r>
      <w:r w:rsidR="00CE7FBA">
        <w:t xml:space="preserve"> z 2</w:t>
      </w:r>
      <w:r>
        <w:t>9.6.1989, s. 1.</w:t>
      </w:r>
    </w:p>
  </w:footnote>
  <w:footnote w:id="11">
    <w:p w:rsidR="00912B9A" w:rsidRPr="00812214" w:rsidRDefault="00912B9A">
      <w:pPr>
        <w:pStyle w:val="FootnoteText"/>
      </w:pPr>
      <w:r>
        <w:rPr>
          <w:rStyle w:val="FootnoteReference"/>
        </w:rPr>
        <w:footnoteRef/>
      </w:r>
      <w:r>
        <w:tab/>
        <w:t>Dyrektywa 2008/68/WE Parlamentu Europejskiego</w:t>
      </w:r>
      <w:r w:rsidR="00CE7FBA">
        <w:t xml:space="preserve"> i Rad</w:t>
      </w:r>
      <w:r>
        <w:t>y</w:t>
      </w:r>
      <w:r w:rsidR="00CE7FBA">
        <w:t xml:space="preserve"> z dni</w:t>
      </w:r>
      <w:r>
        <w:t>a 24 września 20</w:t>
      </w:r>
      <w:r w:rsidRPr="00CE7FBA">
        <w:t>08</w:t>
      </w:r>
      <w:r w:rsidR="00CE7FBA" w:rsidRPr="00CE7FBA">
        <w:t> </w:t>
      </w:r>
      <w:r w:rsidRPr="00CE7FBA">
        <w:t>r.</w:t>
      </w:r>
      <w:r w:rsidR="00CE7FBA">
        <w:t xml:space="preserve"> w spr</w:t>
      </w:r>
      <w:r>
        <w:t>awie transportu lądowego towarów niebezpiecznych (Dz.U. L 260</w:t>
      </w:r>
      <w:r w:rsidR="00CE7FBA">
        <w:t xml:space="preserve"> z 3</w:t>
      </w:r>
      <w:r>
        <w:t>0.9.2008, s. 13).</w:t>
      </w:r>
    </w:p>
  </w:footnote>
  <w:footnote w:id="12">
    <w:p w:rsidR="006B1B37" w:rsidRPr="0023497A" w:rsidRDefault="006B1B37" w:rsidP="006B1B37">
      <w:pPr>
        <w:pStyle w:val="FootnoteText"/>
      </w:pPr>
      <w:r>
        <w:rPr>
          <w:rStyle w:val="FootnoteReference"/>
        </w:rPr>
        <w:footnoteRef/>
      </w:r>
      <w:r>
        <w:tab/>
        <w:t>Dyrektywa 2004/49/WE Parlamentu Europejskiego</w:t>
      </w:r>
      <w:r w:rsidR="00CE7FBA">
        <w:t xml:space="preserve"> i Rad</w:t>
      </w:r>
      <w:r>
        <w:t>y</w:t>
      </w:r>
      <w:r w:rsidR="00CE7FBA">
        <w:t xml:space="preserve"> z dni</w:t>
      </w:r>
      <w:r>
        <w:t>a 29 kwietnia 2004 r.</w:t>
      </w:r>
      <w:r w:rsidR="00CE7FBA">
        <w:t xml:space="preserve"> w spr</w:t>
      </w:r>
      <w:r>
        <w:t>awie bezpieczeństwa kolei wspólnotowych oraz zmieniająca dyrektywę Rady 95/18/WE</w:t>
      </w:r>
      <w:r w:rsidR="00CE7FBA">
        <w:t xml:space="preserve"> w spr</w:t>
      </w:r>
      <w:r>
        <w:t>awie przyznawania licencji przedsiębiorstwom kolejowym, oraz dyrektywę 2001/14/WE</w:t>
      </w:r>
      <w:r w:rsidR="00CE7FBA">
        <w:t xml:space="preserve"> w spr</w:t>
      </w:r>
      <w:r>
        <w:t>awie alokacji zdolności przepustowej infrastruktury kolejowej</w:t>
      </w:r>
      <w:r w:rsidR="00CE7FBA">
        <w:t xml:space="preserve"> i pob</w:t>
      </w:r>
      <w:r>
        <w:t>ierania opłat za użytkowanie infrastruktury kolejowej oraz certyfikację</w:t>
      </w:r>
      <w:r w:rsidR="00CE7FBA">
        <w:t xml:space="preserve"> w zak</w:t>
      </w:r>
      <w:r>
        <w:t>resie bezpieczeństwa (Dyrektywa</w:t>
      </w:r>
      <w:r w:rsidR="00CE7FBA">
        <w:t xml:space="preserve"> w spr</w:t>
      </w:r>
      <w:r>
        <w:t>awie bezpieczeństwa kolei), Dz.U. L 164</w:t>
      </w:r>
      <w:r w:rsidR="00CE7FBA">
        <w:t xml:space="preserve"> z 3</w:t>
      </w:r>
      <w:r>
        <w:t>0.4.2004, s.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BA" w:rsidRPr="00CE7FBA" w:rsidRDefault="00CE7FBA" w:rsidP="00CE7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BA" w:rsidRPr="00CE7FBA" w:rsidRDefault="00CE7FBA" w:rsidP="00CE7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BA" w:rsidRPr="00CE7FBA" w:rsidRDefault="00CE7FBA" w:rsidP="00CE7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2CADAD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ECD8A00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9298594A"/>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532415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21658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4672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C614F0"/>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A686DE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ITTEKATTE Mathieu (ERA)">
    <w15:presenceInfo w15:providerId="None" w15:userId="SCHITTEKATTE Mathieu (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29 11:58:5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VERPAGE_EXISTS" w:val="True"/>
    <w:docVar w:name="LW_COVERPAGE_GUID" w:val="0FB56FF4-F727-4A6A-A6DE-69A6F0FE1470"/>
    <w:docVar w:name="LW_COVERPAGE_TYPE" w:val="1"/>
    <w:docVar w:name="LW_CROSSREFERENCE" w:val="&lt;UNUSED&gt;"/>
    <w:docVar w:name="LW_DATE.ADOPT.CP" w:val="z dnia XXX r."/>
    <w:docVar w:name="LW_DATE.ADOPT.CP_DATEFORMAT" w:val="z dnia %DATE% r."/>
    <w:docVar w:name="LW_DATE.ADOPT.CP_ISODATE" w:val="&lt;EMPTY&gt;"/>
    <w:docVar w:name="LW_DocType" w:val="COM"/>
    <w:docVar w:name="LW_EMISSION" w:val="&lt;EMPTY&gt;"/>
    <w:docVar w:name="LW_EMISSION_ISODATE" w:val="&lt;EMPTY&gt;"/>
    <w:docVar w:name="LW_EMISSION_LOCATION" w:val="BRX"/>
    <w:docVar w:name="LW_EMISSION_PREFIX" w:val="Bruksela, dnia"/>
    <w:docVar w:name="LW_EMISSION_SUFFIX" w:val=" r."/>
    <w:docVar w:name="LW_FAITA" w:val="Done at"/>
    <w:docVar w:name="LW_ID_DOCMODEL" w:val="SJ-003"/>
    <w:docVar w:name="LW_ID_DOCSIGNATURE" w:val="SJ-003"/>
    <w:docVar w:name="LW_ID_DOCSTRUCTURE" w:val="COM/AA"/>
    <w:docVar w:name="LW_ID_DOCTYPE" w:val="SJ-003"/>
    <w:docVar w:name="LW_INST.SIGNE" w:val="&lt;UNUSED&gt;"/>
    <w:docVar w:name="LW_INTERETEEE.CP" w:val="(Tekst maj\u261?cy znaczenie dla EOG)"/>
    <w:docVar w:name="LW_LANGUE" w:val="PL"/>
    <w:docVar w:name="LW_LANGUESFAISANTFOI.CP" w:val="&lt;UNUSED&gt;"/>
    <w:docVar w:name="LW_LEVEL_OF_SENSITIVITY" w:val="Standard treatment"/>
    <w:docVar w:name="LW_NOM.INST" w:val="KOMISJA EUROPEJSKA"/>
    <w:docVar w:name="LW_NOM.INST_JOINTDOC" w:val="&lt;EMPTY&gt;"/>
    <w:docVar w:name="LW_PART_NBR" w:val="1"/>
    <w:docVar w:name="LW_PART_NBR_TOTAL" w:val="1"/>
    <w:docVar w:name="LW_PERS.SIGNE" w:val="&lt;UNUSED&gt;"/>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lt;UNUSED&gt;"/>
    <w:docVar w:name="LW_SUPERTITRE" w:val="&lt;UNUSED&gt;"/>
    <w:docVar w:name="LW_TITRE.OBJ.CP" w:val="ustanawiaj\u261?ce wspólne metody oceny bezpiecze\u324?stwa w odniesieniu do wymogów dotycz\u261?cych systemu zarz\u261?dzania bezpiecze\u324?stwem na podstawie dyrektywy Parlamentu Europejskiego i Rady (UE) 2016/798 oraz uchylaj\u261?ce rozporz\u261?dzenia Komisji (UE) nr 1158/2010 i (UE) nr 1169/2010"/>
    <w:docVar w:name="LW_TYPE.DOC.CP" w:val="ROZPORZ\u260?DZENIE DELEGOWANE KOMISJI (UE) \u8230?/\u8230?"/>
  </w:docVars>
  <w:rsids>
    <w:rsidRoot w:val="00912B9A"/>
    <w:rsid w:val="000007E7"/>
    <w:rsid w:val="00010BC2"/>
    <w:rsid w:val="00014413"/>
    <w:rsid w:val="00015968"/>
    <w:rsid w:val="0003286A"/>
    <w:rsid w:val="0004365A"/>
    <w:rsid w:val="00053067"/>
    <w:rsid w:val="00053D72"/>
    <w:rsid w:val="000558B6"/>
    <w:rsid w:val="00062CF2"/>
    <w:rsid w:val="00063861"/>
    <w:rsid w:val="00065CEB"/>
    <w:rsid w:val="00075864"/>
    <w:rsid w:val="00076F5F"/>
    <w:rsid w:val="0009391B"/>
    <w:rsid w:val="00093F97"/>
    <w:rsid w:val="00095725"/>
    <w:rsid w:val="00096543"/>
    <w:rsid w:val="000A6BA1"/>
    <w:rsid w:val="000B583F"/>
    <w:rsid w:val="000C744F"/>
    <w:rsid w:val="000D3B63"/>
    <w:rsid w:val="000D3B73"/>
    <w:rsid w:val="000D66D0"/>
    <w:rsid w:val="000D6EE0"/>
    <w:rsid w:val="00104ED3"/>
    <w:rsid w:val="00111C93"/>
    <w:rsid w:val="00112F6C"/>
    <w:rsid w:val="00123CEE"/>
    <w:rsid w:val="001270D3"/>
    <w:rsid w:val="00134EBC"/>
    <w:rsid w:val="00135984"/>
    <w:rsid w:val="0014795D"/>
    <w:rsid w:val="001501CC"/>
    <w:rsid w:val="00153A64"/>
    <w:rsid w:val="00166B2F"/>
    <w:rsid w:val="00171635"/>
    <w:rsid w:val="00172006"/>
    <w:rsid w:val="00176F4A"/>
    <w:rsid w:val="00185532"/>
    <w:rsid w:val="001941D6"/>
    <w:rsid w:val="001A1F3E"/>
    <w:rsid w:val="001A2057"/>
    <w:rsid w:val="001A4593"/>
    <w:rsid w:val="001A4ABA"/>
    <w:rsid w:val="001B230A"/>
    <w:rsid w:val="001B3AE3"/>
    <w:rsid w:val="001B5079"/>
    <w:rsid w:val="001B5562"/>
    <w:rsid w:val="001B5F51"/>
    <w:rsid w:val="001C5531"/>
    <w:rsid w:val="001C5A8C"/>
    <w:rsid w:val="001C7EC7"/>
    <w:rsid w:val="001D5B34"/>
    <w:rsid w:val="001E57FF"/>
    <w:rsid w:val="00200CC2"/>
    <w:rsid w:val="00200E08"/>
    <w:rsid w:val="002106C1"/>
    <w:rsid w:val="00216EA8"/>
    <w:rsid w:val="00226BD4"/>
    <w:rsid w:val="00230BE6"/>
    <w:rsid w:val="00233149"/>
    <w:rsid w:val="0023497A"/>
    <w:rsid w:val="002538FC"/>
    <w:rsid w:val="00254896"/>
    <w:rsid w:val="00261C33"/>
    <w:rsid w:val="00263019"/>
    <w:rsid w:val="002701B2"/>
    <w:rsid w:val="002857A0"/>
    <w:rsid w:val="002878EC"/>
    <w:rsid w:val="0029685A"/>
    <w:rsid w:val="002A064A"/>
    <w:rsid w:val="002A0F3A"/>
    <w:rsid w:val="002A1308"/>
    <w:rsid w:val="002A6955"/>
    <w:rsid w:val="002A7DA1"/>
    <w:rsid w:val="002B0802"/>
    <w:rsid w:val="002B1CC2"/>
    <w:rsid w:val="002C6752"/>
    <w:rsid w:val="002E3FA5"/>
    <w:rsid w:val="002E6300"/>
    <w:rsid w:val="002F5709"/>
    <w:rsid w:val="002F6858"/>
    <w:rsid w:val="00303CD5"/>
    <w:rsid w:val="0032084B"/>
    <w:rsid w:val="0033278D"/>
    <w:rsid w:val="00337ED9"/>
    <w:rsid w:val="0034445E"/>
    <w:rsid w:val="00357550"/>
    <w:rsid w:val="003608E0"/>
    <w:rsid w:val="003615BB"/>
    <w:rsid w:val="003653BB"/>
    <w:rsid w:val="00365D72"/>
    <w:rsid w:val="00372105"/>
    <w:rsid w:val="003751B5"/>
    <w:rsid w:val="003931A1"/>
    <w:rsid w:val="003967F5"/>
    <w:rsid w:val="003A5E09"/>
    <w:rsid w:val="003B14D4"/>
    <w:rsid w:val="003B1C0B"/>
    <w:rsid w:val="003C09FC"/>
    <w:rsid w:val="003C1F15"/>
    <w:rsid w:val="003C33DE"/>
    <w:rsid w:val="003C7573"/>
    <w:rsid w:val="003E02FC"/>
    <w:rsid w:val="003E467D"/>
    <w:rsid w:val="003E52EA"/>
    <w:rsid w:val="003F08E3"/>
    <w:rsid w:val="003F469D"/>
    <w:rsid w:val="004000C7"/>
    <w:rsid w:val="00401EE3"/>
    <w:rsid w:val="00405985"/>
    <w:rsid w:val="00413B16"/>
    <w:rsid w:val="0041469B"/>
    <w:rsid w:val="00424BF6"/>
    <w:rsid w:val="00425401"/>
    <w:rsid w:val="004331C7"/>
    <w:rsid w:val="00435389"/>
    <w:rsid w:val="00442D78"/>
    <w:rsid w:val="00444DF1"/>
    <w:rsid w:val="00460C9F"/>
    <w:rsid w:val="004617E2"/>
    <w:rsid w:val="00463374"/>
    <w:rsid w:val="0047098C"/>
    <w:rsid w:val="0048409F"/>
    <w:rsid w:val="00490F5E"/>
    <w:rsid w:val="00492985"/>
    <w:rsid w:val="0049409F"/>
    <w:rsid w:val="004975AC"/>
    <w:rsid w:val="004977DD"/>
    <w:rsid w:val="004A058A"/>
    <w:rsid w:val="004A61D6"/>
    <w:rsid w:val="004B1895"/>
    <w:rsid w:val="004B2C4E"/>
    <w:rsid w:val="004B4203"/>
    <w:rsid w:val="004C3423"/>
    <w:rsid w:val="004C6918"/>
    <w:rsid w:val="004D2C99"/>
    <w:rsid w:val="004D6375"/>
    <w:rsid w:val="004D71D5"/>
    <w:rsid w:val="004E0759"/>
    <w:rsid w:val="004E75D8"/>
    <w:rsid w:val="004E7B0D"/>
    <w:rsid w:val="00504950"/>
    <w:rsid w:val="00505407"/>
    <w:rsid w:val="00510C68"/>
    <w:rsid w:val="0051194F"/>
    <w:rsid w:val="0051197C"/>
    <w:rsid w:val="0052224A"/>
    <w:rsid w:val="0052283D"/>
    <w:rsid w:val="0052444B"/>
    <w:rsid w:val="0053397B"/>
    <w:rsid w:val="005403CA"/>
    <w:rsid w:val="00544ADF"/>
    <w:rsid w:val="00545AB2"/>
    <w:rsid w:val="005503CC"/>
    <w:rsid w:val="005529AB"/>
    <w:rsid w:val="00554804"/>
    <w:rsid w:val="00564FEF"/>
    <w:rsid w:val="00566505"/>
    <w:rsid w:val="005671D9"/>
    <w:rsid w:val="00571083"/>
    <w:rsid w:val="0057289E"/>
    <w:rsid w:val="00574613"/>
    <w:rsid w:val="00574911"/>
    <w:rsid w:val="00575994"/>
    <w:rsid w:val="005779EB"/>
    <w:rsid w:val="00577B52"/>
    <w:rsid w:val="00577BC5"/>
    <w:rsid w:val="00581D1C"/>
    <w:rsid w:val="00584CA4"/>
    <w:rsid w:val="0058655E"/>
    <w:rsid w:val="005925C9"/>
    <w:rsid w:val="00593601"/>
    <w:rsid w:val="005A19B7"/>
    <w:rsid w:val="005A698A"/>
    <w:rsid w:val="005A6C6E"/>
    <w:rsid w:val="005A6D56"/>
    <w:rsid w:val="005B2B43"/>
    <w:rsid w:val="005B2F0D"/>
    <w:rsid w:val="005C29AB"/>
    <w:rsid w:val="005C7522"/>
    <w:rsid w:val="005D079A"/>
    <w:rsid w:val="005E075D"/>
    <w:rsid w:val="005E435C"/>
    <w:rsid w:val="005F79C3"/>
    <w:rsid w:val="00602AE9"/>
    <w:rsid w:val="00627148"/>
    <w:rsid w:val="00632950"/>
    <w:rsid w:val="00634944"/>
    <w:rsid w:val="00645B8C"/>
    <w:rsid w:val="00665B81"/>
    <w:rsid w:val="00673264"/>
    <w:rsid w:val="0068122D"/>
    <w:rsid w:val="006832C3"/>
    <w:rsid w:val="00687EDE"/>
    <w:rsid w:val="00696546"/>
    <w:rsid w:val="006A330D"/>
    <w:rsid w:val="006A521D"/>
    <w:rsid w:val="006A6814"/>
    <w:rsid w:val="006B1B37"/>
    <w:rsid w:val="006B3A76"/>
    <w:rsid w:val="006B4A33"/>
    <w:rsid w:val="006C27F2"/>
    <w:rsid w:val="006C2D2D"/>
    <w:rsid w:val="006C2E23"/>
    <w:rsid w:val="006C344A"/>
    <w:rsid w:val="006E0950"/>
    <w:rsid w:val="006E1BD7"/>
    <w:rsid w:val="006E762B"/>
    <w:rsid w:val="006F2897"/>
    <w:rsid w:val="007036D3"/>
    <w:rsid w:val="00715D61"/>
    <w:rsid w:val="007178C6"/>
    <w:rsid w:val="00720307"/>
    <w:rsid w:val="007209EF"/>
    <w:rsid w:val="00733486"/>
    <w:rsid w:val="0073394B"/>
    <w:rsid w:val="007450D2"/>
    <w:rsid w:val="007458E1"/>
    <w:rsid w:val="0075023E"/>
    <w:rsid w:val="0075043C"/>
    <w:rsid w:val="00751070"/>
    <w:rsid w:val="00751C0C"/>
    <w:rsid w:val="007545E8"/>
    <w:rsid w:val="007617EC"/>
    <w:rsid w:val="00771668"/>
    <w:rsid w:val="007770F9"/>
    <w:rsid w:val="00786948"/>
    <w:rsid w:val="007878D5"/>
    <w:rsid w:val="007A4F45"/>
    <w:rsid w:val="007D53B6"/>
    <w:rsid w:val="007D7437"/>
    <w:rsid w:val="007E2FD7"/>
    <w:rsid w:val="007F7FA9"/>
    <w:rsid w:val="00805C3F"/>
    <w:rsid w:val="00806C3E"/>
    <w:rsid w:val="00812214"/>
    <w:rsid w:val="00820527"/>
    <w:rsid w:val="0082554B"/>
    <w:rsid w:val="00826C6A"/>
    <w:rsid w:val="008306C2"/>
    <w:rsid w:val="008369C7"/>
    <w:rsid w:val="00840929"/>
    <w:rsid w:val="008438ED"/>
    <w:rsid w:val="008455A1"/>
    <w:rsid w:val="00845BEC"/>
    <w:rsid w:val="00847618"/>
    <w:rsid w:val="008543D7"/>
    <w:rsid w:val="008858B5"/>
    <w:rsid w:val="008862A7"/>
    <w:rsid w:val="00886C99"/>
    <w:rsid w:val="00886CFA"/>
    <w:rsid w:val="008904E6"/>
    <w:rsid w:val="008956B4"/>
    <w:rsid w:val="0089591D"/>
    <w:rsid w:val="008A0470"/>
    <w:rsid w:val="008A2F5C"/>
    <w:rsid w:val="008A54C1"/>
    <w:rsid w:val="008A60A7"/>
    <w:rsid w:val="008B562A"/>
    <w:rsid w:val="008B6893"/>
    <w:rsid w:val="008C1B8A"/>
    <w:rsid w:val="008C2C1C"/>
    <w:rsid w:val="008C33F2"/>
    <w:rsid w:val="008D0945"/>
    <w:rsid w:val="008D2317"/>
    <w:rsid w:val="008D3A48"/>
    <w:rsid w:val="008D5939"/>
    <w:rsid w:val="008D60C0"/>
    <w:rsid w:val="008E1C96"/>
    <w:rsid w:val="008E2923"/>
    <w:rsid w:val="008E45F7"/>
    <w:rsid w:val="008E516B"/>
    <w:rsid w:val="008F3846"/>
    <w:rsid w:val="008F3BBA"/>
    <w:rsid w:val="008F614C"/>
    <w:rsid w:val="008F7D77"/>
    <w:rsid w:val="0090273A"/>
    <w:rsid w:val="00904AEA"/>
    <w:rsid w:val="009124A4"/>
    <w:rsid w:val="00912B9A"/>
    <w:rsid w:val="00914820"/>
    <w:rsid w:val="00916DB7"/>
    <w:rsid w:val="00917EF7"/>
    <w:rsid w:val="009214F5"/>
    <w:rsid w:val="00923858"/>
    <w:rsid w:val="00923A2D"/>
    <w:rsid w:val="0092401E"/>
    <w:rsid w:val="009269A8"/>
    <w:rsid w:val="009269F9"/>
    <w:rsid w:val="00930F78"/>
    <w:rsid w:val="00934319"/>
    <w:rsid w:val="009369DA"/>
    <w:rsid w:val="00943124"/>
    <w:rsid w:val="00953005"/>
    <w:rsid w:val="0095474D"/>
    <w:rsid w:val="00961327"/>
    <w:rsid w:val="00980BFD"/>
    <w:rsid w:val="00982529"/>
    <w:rsid w:val="00995310"/>
    <w:rsid w:val="00995C3D"/>
    <w:rsid w:val="009A10D8"/>
    <w:rsid w:val="009A1EEF"/>
    <w:rsid w:val="009A4E69"/>
    <w:rsid w:val="009A5C04"/>
    <w:rsid w:val="009A7811"/>
    <w:rsid w:val="009B0A8E"/>
    <w:rsid w:val="009B3C97"/>
    <w:rsid w:val="009D179C"/>
    <w:rsid w:val="009D480F"/>
    <w:rsid w:val="009D6A04"/>
    <w:rsid w:val="009D7484"/>
    <w:rsid w:val="009E3AD9"/>
    <w:rsid w:val="009F38E6"/>
    <w:rsid w:val="009F7134"/>
    <w:rsid w:val="00A0307C"/>
    <w:rsid w:val="00A1027C"/>
    <w:rsid w:val="00A12CD5"/>
    <w:rsid w:val="00A2150F"/>
    <w:rsid w:val="00A240E2"/>
    <w:rsid w:val="00A40724"/>
    <w:rsid w:val="00A4348E"/>
    <w:rsid w:val="00A44784"/>
    <w:rsid w:val="00A50560"/>
    <w:rsid w:val="00A51F88"/>
    <w:rsid w:val="00A5683D"/>
    <w:rsid w:val="00A57630"/>
    <w:rsid w:val="00A60E1E"/>
    <w:rsid w:val="00A63C00"/>
    <w:rsid w:val="00A80864"/>
    <w:rsid w:val="00A84153"/>
    <w:rsid w:val="00A9464C"/>
    <w:rsid w:val="00AB024B"/>
    <w:rsid w:val="00AB03B5"/>
    <w:rsid w:val="00AC09AF"/>
    <w:rsid w:val="00AC1125"/>
    <w:rsid w:val="00AC244E"/>
    <w:rsid w:val="00AC5B2D"/>
    <w:rsid w:val="00AE3039"/>
    <w:rsid w:val="00AE742F"/>
    <w:rsid w:val="00AE7DF3"/>
    <w:rsid w:val="00AF48B5"/>
    <w:rsid w:val="00B0025D"/>
    <w:rsid w:val="00B03C94"/>
    <w:rsid w:val="00B04DCA"/>
    <w:rsid w:val="00B1490D"/>
    <w:rsid w:val="00B26632"/>
    <w:rsid w:val="00B27725"/>
    <w:rsid w:val="00B3037D"/>
    <w:rsid w:val="00B32873"/>
    <w:rsid w:val="00B35D67"/>
    <w:rsid w:val="00B4352F"/>
    <w:rsid w:val="00B43634"/>
    <w:rsid w:val="00B44CFD"/>
    <w:rsid w:val="00B474D0"/>
    <w:rsid w:val="00B50A51"/>
    <w:rsid w:val="00B61465"/>
    <w:rsid w:val="00B63C92"/>
    <w:rsid w:val="00B64196"/>
    <w:rsid w:val="00B709E7"/>
    <w:rsid w:val="00B7394A"/>
    <w:rsid w:val="00B84439"/>
    <w:rsid w:val="00B93DF6"/>
    <w:rsid w:val="00BB2105"/>
    <w:rsid w:val="00BB60A5"/>
    <w:rsid w:val="00BB7DF8"/>
    <w:rsid w:val="00BC0BD6"/>
    <w:rsid w:val="00BC0BE7"/>
    <w:rsid w:val="00BC61B2"/>
    <w:rsid w:val="00BD0EC1"/>
    <w:rsid w:val="00BE5439"/>
    <w:rsid w:val="00BE7F0D"/>
    <w:rsid w:val="00BF3227"/>
    <w:rsid w:val="00BF519C"/>
    <w:rsid w:val="00C120E1"/>
    <w:rsid w:val="00C125C7"/>
    <w:rsid w:val="00C16174"/>
    <w:rsid w:val="00C1736B"/>
    <w:rsid w:val="00C32DD5"/>
    <w:rsid w:val="00C36AE4"/>
    <w:rsid w:val="00C42C77"/>
    <w:rsid w:val="00C52CF8"/>
    <w:rsid w:val="00C54741"/>
    <w:rsid w:val="00C5636E"/>
    <w:rsid w:val="00C5782D"/>
    <w:rsid w:val="00C629BF"/>
    <w:rsid w:val="00C63405"/>
    <w:rsid w:val="00C7115B"/>
    <w:rsid w:val="00C755BB"/>
    <w:rsid w:val="00C809B6"/>
    <w:rsid w:val="00C82363"/>
    <w:rsid w:val="00C82DFA"/>
    <w:rsid w:val="00C83FAA"/>
    <w:rsid w:val="00C95220"/>
    <w:rsid w:val="00CA0BD8"/>
    <w:rsid w:val="00CA1086"/>
    <w:rsid w:val="00CA2CCD"/>
    <w:rsid w:val="00CC1B9A"/>
    <w:rsid w:val="00CC3E9B"/>
    <w:rsid w:val="00CC4B33"/>
    <w:rsid w:val="00CD1B48"/>
    <w:rsid w:val="00CD3011"/>
    <w:rsid w:val="00CD3492"/>
    <w:rsid w:val="00CD38E2"/>
    <w:rsid w:val="00CE2F30"/>
    <w:rsid w:val="00CE3CDB"/>
    <w:rsid w:val="00CE7FBA"/>
    <w:rsid w:val="00D02796"/>
    <w:rsid w:val="00D047BB"/>
    <w:rsid w:val="00D047FA"/>
    <w:rsid w:val="00D10BC6"/>
    <w:rsid w:val="00D21896"/>
    <w:rsid w:val="00D2339A"/>
    <w:rsid w:val="00D251F6"/>
    <w:rsid w:val="00D31381"/>
    <w:rsid w:val="00D50C32"/>
    <w:rsid w:val="00D6506A"/>
    <w:rsid w:val="00D74A90"/>
    <w:rsid w:val="00D80E3D"/>
    <w:rsid w:val="00D921F7"/>
    <w:rsid w:val="00D9739B"/>
    <w:rsid w:val="00DA0785"/>
    <w:rsid w:val="00DA19DE"/>
    <w:rsid w:val="00DA62B8"/>
    <w:rsid w:val="00DB390A"/>
    <w:rsid w:val="00DB3B18"/>
    <w:rsid w:val="00DC17D9"/>
    <w:rsid w:val="00DC2257"/>
    <w:rsid w:val="00DC5D5F"/>
    <w:rsid w:val="00DD453B"/>
    <w:rsid w:val="00DD62E8"/>
    <w:rsid w:val="00DD71A3"/>
    <w:rsid w:val="00DE050D"/>
    <w:rsid w:val="00DE40C6"/>
    <w:rsid w:val="00DF06EF"/>
    <w:rsid w:val="00DF0F83"/>
    <w:rsid w:val="00DF23A9"/>
    <w:rsid w:val="00DF3B30"/>
    <w:rsid w:val="00DF3E23"/>
    <w:rsid w:val="00E00CDC"/>
    <w:rsid w:val="00E10EEE"/>
    <w:rsid w:val="00E22EB6"/>
    <w:rsid w:val="00E3068A"/>
    <w:rsid w:val="00E3505D"/>
    <w:rsid w:val="00E40C08"/>
    <w:rsid w:val="00E4182A"/>
    <w:rsid w:val="00E52033"/>
    <w:rsid w:val="00E56C9D"/>
    <w:rsid w:val="00E75903"/>
    <w:rsid w:val="00E77DBC"/>
    <w:rsid w:val="00E85345"/>
    <w:rsid w:val="00E9114F"/>
    <w:rsid w:val="00EA55DE"/>
    <w:rsid w:val="00EC07BF"/>
    <w:rsid w:val="00EC13ED"/>
    <w:rsid w:val="00EC324B"/>
    <w:rsid w:val="00EC3F61"/>
    <w:rsid w:val="00EC4059"/>
    <w:rsid w:val="00EC53C0"/>
    <w:rsid w:val="00ED2303"/>
    <w:rsid w:val="00EE4169"/>
    <w:rsid w:val="00EE5703"/>
    <w:rsid w:val="00EE6AC4"/>
    <w:rsid w:val="00EF05B1"/>
    <w:rsid w:val="00EF0EE1"/>
    <w:rsid w:val="00F00A57"/>
    <w:rsid w:val="00F035C1"/>
    <w:rsid w:val="00F167BA"/>
    <w:rsid w:val="00F2473C"/>
    <w:rsid w:val="00F30B3D"/>
    <w:rsid w:val="00F4033F"/>
    <w:rsid w:val="00F41E8D"/>
    <w:rsid w:val="00F45466"/>
    <w:rsid w:val="00F46864"/>
    <w:rsid w:val="00F46EF9"/>
    <w:rsid w:val="00F53029"/>
    <w:rsid w:val="00F545BB"/>
    <w:rsid w:val="00F62315"/>
    <w:rsid w:val="00F63BA7"/>
    <w:rsid w:val="00F64588"/>
    <w:rsid w:val="00F77203"/>
    <w:rsid w:val="00F84709"/>
    <w:rsid w:val="00F870C0"/>
    <w:rsid w:val="00F87183"/>
    <w:rsid w:val="00F9278A"/>
    <w:rsid w:val="00FA0887"/>
    <w:rsid w:val="00FA1791"/>
    <w:rsid w:val="00FA3AD5"/>
    <w:rsid w:val="00FA70D4"/>
    <w:rsid w:val="00FB126C"/>
    <w:rsid w:val="00FC3D23"/>
    <w:rsid w:val="00FD16B4"/>
    <w:rsid w:val="00FD3BF9"/>
    <w:rsid w:val="00FE27C0"/>
    <w:rsid w:val="00FE2A53"/>
    <w:rsid w:val="00FE311C"/>
    <w:rsid w:val="00FE4B60"/>
    <w:rsid w:val="00FF5967"/>
    <w:rsid w:val="00FF6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7"/>
      </w:numPr>
      <w:outlineLvl w:val="3"/>
    </w:pPr>
    <w:rPr>
      <w:rFonts w:eastAsiaTheme="majorEastAsia"/>
      <w:bCs/>
      <w:iCs/>
    </w:rPr>
  </w:style>
  <w:style w:type="paragraph" w:styleId="Heading5">
    <w:name w:val="heading 5"/>
    <w:basedOn w:val="Normal"/>
    <w:next w:val="Normal"/>
    <w:link w:val="Heading5Char"/>
    <w:uiPriority w:val="99"/>
    <w:qFormat/>
    <w:rsid w:val="00912B9A"/>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rsid w:val="00912B9A"/>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rsid w:val="00912B9A"/>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rsid w:val="00912B9A"/>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rsid w:val="00912B9A"/>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912B9A"/>
    <w:rPr>
      <w:rFonts w:ascii="Arial" w:eastAsiaTheme="minorEastAsia" w:hAnsi="Arial" w:cs="Arial"/>
      <w:lang w:val="pl-PL"/>
    </w:rPr>
  </w:style>
  <w:style w:type="character" w:customStyle="1" w:styleId="Heading6Char">
    <w:name w:val="Heading 6 Char"/>
    <w:basedOn w:val="DefaultParagraphFont"/>
    <w:link w:val="Heading6"/>
    <w:uiPriority w:val="99"/>
    <w:rsid w:val="00912B9A"/>
    <w:rPr>
      <w:rFonts w:ascii="Arial" w:eastAsiaTheme="minorEastAsia" w:hAnsi="Arial" w:cs="Arial"/>
      <w:i/>
      <w:iCs/>
      <w:lang w:val="pl-PL"/>
    </w:rPr>
  </w:style>
  <w:style w:type="character" w:customStyle="1" w:styleId="Heading7Char">
    <w:name w:val="Heading 7 Char"/>
    <w:basedOn w:val="DefaultParagraphFont"/>
    <w:link w:val="Heading7"/>
    <w:uiPriority w:val="99"/>
    <w:rsid w:val="00912B9A"/>
    <w:rPr>
      <w:rFonts w:ascii="Arial" w:eastAsiaTheme="minorEastAsia" w:hAnsi="Arial" w:cs="Arial"/>
      <w:sz w:val="20"/>
      <w:szCs w:val="20"/>
      <w:lang w:val="pl-PL"/>
    </w:rPr>
  </w:style>
  <w:style w:type="character" w:customStyle="1" w:styleId="Heading8Char">
    <w:name w:val="Heading 8 Char"/>
    <w:basedOn w:val="DefaultParagraphFont"/>
    <w:link w:val="Heading8"/>
    <w:uiPriority w:val="99"/>
    <w:rsid w:val="00912B9A"/>
    <w:rPr>
      <w:rFonts w:ascii="Arial" w:eastAsiaTheme="minorEastAsia" w:hAnsi="Arial" w:cs="Arial"/>
      <w:i/>
      <w:iCs/>
      <w:sz w:val="20"/>
      <w:szCs w:val="20"/>
      <w:lang w:val="pl-PL"/>
    </w:rPr>
  </w:style>
  <w:style w:type="character" w:customStyle="1" w:styleId="Heading9Char">
    <w:name w:val="Heading 9 Char"/>
    <w:basedOn w:val="DefaultParagraphFont"/>
    <w:link w:val="Heading9"/>
    <w:uiPriority w:val="99"/>
    <w:rsid w:val="00912B9A"/>
    <w:rPr>
      <w:rFonts w:ascii="Arial" w:eastAsiaTheme="minorEastAsia" w:hAnsi="Arial" w:cs="Arial"/>
      <w:i/>
      <w:iCs/>
      <w:sz w:val="18"/>
      <w:szCs w:val="18"/>
      <w:lang w:val="pl-PL"/>
    </w:rPr>
  </w:style>
  <w:style w:type="paragraph" w:styleId="Caption">
    <w:name w:val="caption"/>
    <w:basedOn w:val="Normal"/>
    <w:next w:val="Normal"/>
    <w:uiPriority w:val="99"/>
    <w:qFormat/>
    <w:rsid w:val="00912B9A"/>
    <w:pPr>
      <w:autoSpaceDE w:val="0"/>
      <w:autoSpaceDN w:val="0"/>
    </w:pPr>
    <w:rPr>
      <w:rFonts w:eastAsiaTheme="minorEastAsia"/>
      <w:b/>
      <w:bCs/>
      <w:szCs w:val="24"/>
    </w:rPr>
  </w:style>
  <w:style w:type="character" w:styleId="CommentReference">
    <w:name w:val="annotation reference"/>
    <w:basedOn w:val="DefaultParagraphFont"/>
    <w:uiPriority w:val="99"/>
    <w:rsid w:val="00912B9A"/>
    <w:rPr>
      <w:rFonts w:cs="Times New Roman"/>
      <w:sz w:val="16"/>
      <w:szCs w:val="16"/>
    </w:rPr>
  </w:style>
  <w:style w:type="paragraph" w:styleId="CommentText">
    <w:name w:val="annotation text"/>
    <w:basedOn w:val="Normal"/>
    <w:link w:val="CommentTextChar"/>
    <w:uiPriority w:val="99"/>
    <w:rsid w:val="00912B9A"/>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sid w:val="00912B9A"/>
    <w:rPr>
      <w:rFonts w:ascii="Times New Roman" w:eastAsiaTheme="minorEastAsia" w:hAnsi="Times New Roman" w:cs="Times New Roman"/>
      <w:sz w:val="20"/>
      <w:szCs w:val="20"/>
      <w:lang w:val="pl-PL"/>
    </w:rPr>
  </w:style>
  <w:style w:type="paragraph" w:customStyle="1" w:styleId="FichedimpactPMEtitre">
    <w:name w:val="Fiche d'impact PME titre"/>
    <w:basedOn w:val="Normal"/>
    <w:next w:val="Normal"/>
    <w:uiPriority w:val="99"/>
    <w:rsid w:val="00912B9A"/>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rsid w:val="00912B9A"/>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rsid w:val="00912B9A"/>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rsid w:val="00912B9A"/>
    <w:pPr>
      <w:autoSpaceDE w:val="0"/>
      <w:autoSpaceDN w:val="0"/>
      <w:jc w:val="center"/>
    </w:pPr>
    <w:rPr>
      <w:rFonts w:eastAsiaTheme="minorEastAsia"/>
      <w:b/>
      <w:bCs/>
      <w:sz w:val="40"/>
      <w:szCs w:val="40"/>
    </w:rPr>
  </w:style>
  <w:style w:type="character" w:styleId="PageNumber">
    <w:name w:val="page number"/>
    <w:basedOn w:val="DefaultParagraphFont"/>
    <w:uiPriority w:val="99"/>
    <w:rsid w:val="00912B9A"/>
    <w:rPr>
      <w:rFonts w:cs="Times New Roman"/>
    </w:rPr>
  </w:style>
  <w:style w:type="paragraph" w:styleId="TOAHeading">
    <w:name w:val="toa heading"/>
    <w:basedOn w:val="Normal"/>
    <w:next w:val="Normal"/>
    <w:uiPriority w:val="99"/>
    <w:rsid w:val="00912B9A"/>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rsid w:val="00912B9A"/>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rsid w:val="00912B9A"/>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rsid w:val="00912B9A"/>
    <w:pPr>
      <w:autoSpaceDE w:val="0"/>
      <w:autoSpaceDN w:val="0"/>
      <w:spacing w:before="0"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12B9A"/>
    <w:rPr>
      <w:rFonts w:ascii="Segoe UI" w:eastAsiaTheme="minorEastAsia" w:hAnsi="Segoe UI" w:cs="Segoe UI"/>
      <w:sz w:val="18"/>
      <w:szCs w:val="18"/>
      <w:lang w:val="pl-PL"/>
    </w:rPr>
  </w:style>
  <w:style w:type="paragraph" w:styleId="CommentSubject">
    <w:name w:val="annotation subject"/>
    <w:basedOn w:val="CommentText"/>
    <w:next w:val="CommentText"/>
    <w:link w:val="CommentSubjectChar"/>
    <w:uiPriority w:val="99"/>
    <w:semiHidden/>
    <w:unhideWhenUsed/>
    <w:rsid w:val="00912B9A"/>
    <w:rPr>
      <w:b/>
      <w:bCs/>
    </w:rPr>
  </w:style>
  <w:style w:type="character" w:customStyle="1" w:styleId="CommentSubjectChar">
    <w:name w:val="Comment Subject Char"/>
    <w:basedOn w:val="CommentTextChar"/>
    <w:link w:val="CommentSubject"/>
    <w:uiPriority w:val="99"/>
    <w:semiHidden/>
    <w:rsid w:val="00912B9A"/>
    <w:rPr>
      <w:rFonts w:ascii="Times New Roman" w:eastAsiaTheme="minorEastAsia" w:hAnsi="Times New Roman" w:cs="Times New Roman"/>
      <w:b/>
      <w:bCs/>
      <w:sz w:val="20"/>
      <w:szCs w:val="20"/>
      <w:lang w:val="pl-PL"/>
    </w:rPr>
  </w:style>
  <w:style w:type="paragraph" w:styleId="Revision">
    <w:name w:val="Revision"/>
    <w:hidden/>
    <w:uiPriority w:val="99"/>
    <w:semiHidden/>
    <w:rsid w:val="00912B9A"/>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912B9A"/>
    <w:pPr>
      <w:spacing w:before="0" w:after="160" w:line="259" w:lineRule="auto"/>
      <w:ind w:left="720"/>
      <w:contextualSpacing/>
      <w:jc w:val="left"/>
    </w:pPr>
    <w:rPr>
      <w:rFonts w:ascii="Calibri" w:eastAsiaTheme="minorEastAsia" w:hAnsi="Calibri"/>
      <w:sz w:val="22"/>
    </w:rPr>
  </w:style>
  <w:style w:type="paragraph" w:customStyle="1" w:styleId="Default">
    <w:name w:val="Default"/>
    <w:basedOn w:val="Normal"/>
    <w:rsid w:val="00912B9A"/>
    <w:pPr>
      <w:autoSpaceDE w:val="0"/>
      <w:autoSpaceDN w:val="0"/>
      <w:adjustRightInd w:val="0"/>
      <w:spacing w:before="0" w:after="0"/>
    </w:pPr>
    <w:rPr>
      <w:rFonts w:ascii="Calibri" w:eastAsiaTheme="minorEastAsia" w:hAnsi="Calibri"/>
      <w:color w:val="000000"/>
      <w:sz w:val="20"/>
      <w:szCs w:val="24"/>
    </w:rPr>
  </w:style>
  <w:style w:type="paragraph" w:customStyle="1" w:styleId="CM4">
    <w:name w:val="CM4"/>
    <w:basedOn w:val="Default"/>
    <w:next w:val="Default"/>
    <w:uiPriority w:val="99"/>
    <w:rsid w:val="00912B9A"/>
  </w:style>
  <w:style w:type="character" w:customStyle="1" w:styleId="ListParagraphChar">
    <w:name w:val="List Paragraph Char"/>
    <w:link w:val="ListParagraph"/>
    <w:uiPriority w:val="34"/>
    <w:locked/>
    <w:rsid w:val="00912B9A"/>
    <w:rPr>
      <w:rFonts w:ascii="Calibri" w:eastAsiaTheme="minorEastAsia" w:hAnsi="Calibri" w:cs="Times New Roman"/>
      <w:lang w:val="pl-PL"/>
    </w:rPr>
  </w:style>
  <w:style w:type="paragraph" w:styleId="EndnoteText">
    <w:name w:val="endnote text"/>
    <w:basedOn w:val="Normal"/>
    <w:link w:val="EndnoteTextChar"/>
    <w:uiPriority w:val="99"/>
    <w:semiHidden/>
    <w:unhideWhenUsed/>
    <w:rsid w:val="00912B9A"/>
    <w:pPr>
      <w:autoSpaceDE w:val="0"/>
      <w:autoSpaceDN w:val="0"/>
    </w:pPr>
    <w:rPr>
      <w:rFonts w:eastAsiaTheme="minorEastAsia"/>
      <w:sz w:val="20"/>
      <w:szCs w:val="20"/>
    </w:rPr>
  </w:style>
  <w:style w:type="character" w:customStyle="1" w:styleId="EndnoteTextChar">
    <w:name w:val="Endnote Text Char"/>
    <w:basedOn w:val="DefaultParagraphFont"/>
    <w:link w:val="EndnoteText"/>
    <w:uiPriority w:val="99"/>
    <w:semiHidden/>
    <w:rsid w:val="00912B9A"/>
    <w:rPr>
      <w:rFonts w:ascii="Times New Roman" w:eastAsiaTheme="minorEastAsia" w:hAnsi="Times New Roman" w:cs="Times New Roman"/>
      <w:sz w:val="20"/>
      <w:szCs w:val="20"/>
      <w:lang w:val="pl-PL"/>
    </w:rPr>
  </w:style>
  <w:style w:type="character" w:styleId="EndnoteReference">
    <w:name w:val="endnote reference"/>
    <w:basedOn w:val="DefaultParagraphFont"/>
    <w:uiPriority w:val="99"/>
    <w:semiHidden/>
    <w:unhideWhenUsed/>
    <w:rsid w:val="00912B9A"/>
    <w:rPr>
      <w:rFonts w:cs="Times New Roman"/>
      <w:vertAlign w:val="superscript"/>
    </w:rPr>
  </w:style>
  <w:style w:type="table" w:styleId="TableGrid">
    <w:name w:val="Table Grid"/>
    <w:basedOn w:val="TableNormal"/>
    <w:uiPriority w:val="39"/>
    <w:rsid w:val="00912B9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B9A"/>
    <w:rPr>
      <w:color w:val="0000FF"/>
      <w:u w:val="single"/>
    </w:rPr>
  </w:style>
  <w:style w:type="paragraph" w:customStyle="1" w:styleId="Footnote">
    <w:name w:val="Footnote"/>
    <w:basedOn w:val="Normal"/>
    <w:uiPriority w:val="10"/>
    <w:qFormat/>
    <w:rsid w:val="00912B9A"/>
    <w:pPr>
      <w:spacing w:before="0" w:after="0"/>
    </w:pPr>
    <w:rPr>
      <w:rFonts w:asciiTheme="minorHAnsi" w:hAnsiTheme="minorHAnsi" w:cstheme="minorBidi"/>
      <w:i/>
      <w:color w:val="002034"/>
      <w:sz w:val="16"/>
      <w:szCs w:val="16"/>
    </w:rPr>
  </w:style>
  <w:style w:type="paragraph" w:styleId="ListNumber">
    <w:name w:val="List Number"/>
    <w:basedOn w:val="Normal"/>
    <w:uiPriority w:val="99"/>
    <w:semiHidden/>
    <w:unhideWhenUsed/>
    <w:rsid w:val="00912B9A"/>
    <w:pPr>
      <w:numPr>
        <w:numId w:val="5"/>
      </w:numPr>
      <w:contextualSpacing/>
    </w:pPr>
  </w:style>
  <w:style w:type="paragraph" w:styleId="ListNumber2">
    <w:name w:val="List Number 2"/>
    <w:basedOn w:val="Normal"/>
    <w:uiPriority w:val="99"/>
    <w:semiHidden/>
    <w:unhideWhenUsed/>
    <w:rsid w:val="00912B9A"/>
    <w:pPr>
      <w:numPr>
        <w:numId w:val="6"/>
      </w:numPr>
      <w:contextualSpacing/>
    </w:pPr>
  </w:style>
  <w:style w:type="paragraph" w:styleId="ListNumber3">
    <w:name w:val="List Number 3"/>
    <w:basedOn w:val="Normal"/>
    <w:uiPriority w:val="99"/>
    <w:semiHidden/>
    <w:unhideWhenUsed/>
    <w:rsid w:val="00912B9A"/>
    <w:pPr>
      <w:numPr>
        <w:numId w:val="7"/>
      </w:numPr>
      <w:contextualSpacing/>
    </w:pPr>
  </w:style>
  <w:style w:type="paragraph" w:styleId="ListNumber4">
    <w:name w:val="List Number 4"/>
    <w:basedOn w:val="Normal"/>
    <w:uiPriority w:val="99"/>
    <w:semiHidden/>
    <w:unhideWhenUsed/>
    <w:rsid w:val="00912B9A"/>
    <w:pPr>
      <w:numPr>
        <w:numId w:val="8"/>
      </w:numPr>
      <w:contextualSpacing/>
    </w:pPr>
  </w:style>
  <w:style w:type="paragraph" w:styleId="ListBullet">
    <w:name w:val="List Bullet"/>
    <w:basedOn w:val="Normal"/>
    <w:uiPriority w:val="99"/>
    <w:semiHidden/>
    <w:unhideWhenUsed/>
    <w:rsid w:val="00912B9A"/>
    <w:pPr>
      <w:numPr>
        <w:numId w:val="1"/>
      </w:numPr>
      <w:contextualSpacing/>
    </w:pPr>
  </w:style>
  <w:style w:type="paragraph" w:styleId="ListBullet2">
    <w:name w:val="List Bullet 2"/>
    <w:basedOn w:val="Normal"/>
    <w:uiPriority w:val="99"/>
    <w:semiHidden/>
    <w:unhideWhenUsed/>
    <w:rsid w:val="00912B9A"/>
    <w:pPr>
      <w:numPr>
        <w:numId w:val="2"/>
      </w:numPr>
      <w:contextualSpacing/>
    </w:pPr>
  </w:style>
  <w:style w:type="paragraph" w:styleId="ListBullet3">
    <w:name w:val="List Bullet 3"/>
    <w:basedOn w:val="Normal"/>
    <w:uiPriority w:val="99"/>
    <w:semiHidden/>
    <w:unhideWhenUsed/>
    <w:rsid w:val="00912B9A"/>
    <w:pPr>
      <w:numPr>
        <w:numId w:val="3"/>
      </w:numPr>
      <w:contextualSpacing/>
    </w:pPr>
  </w:style>
  <w:style w:type="paragraph" w:styleId="ListBullet4">
    <w:name w:val="List Bullet 4"/>
    <w:basedOn w:val="Normal"/>
    <w:uiPriority w:val="99"/>
    <w:semiHidden/>
    <w:unhideWhenUsed/>
    <w:rsid w:val="00912B9A"/>
    <w:pPr>
      <w:numPr>
        <w:numId w:val="4"/>
      </w:numPr>
      <w:contextualSpacing/>
    </w:pPr>
  </w:style>
  <w:style w:type="paragraph" w:styleId="TableofFigures">
    <w:name w:val="table of figures"/>
    <w:basedOn w:val="Normal"/>
    <w:next w:val="Normal"/>
    <w:uiPriority w:val="99"/>
    <w:semiHidden/>
    <w:unhideWhenUsed/>
    <w:rsid w:val="003E02FC"/>
    <w:pPr>
      <w:spacing w:after="0"/>
    </w:p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1"/>
      </w:numPr>
    </w:pPr>
  </w:style>
  <w:style w:type="paragraph" w:customStyle="1" w:styleId="Tiret1">
    <w:name w:val="Tiret 1"/>
    <w:basedOn w:val="Point1"/>
    <w:rsid w:val="00877878"/>
    <w:pPr>
      <w:numPr>
        <w:numId w:val="12"/>
      </w:numPr>
    </w:pPr>
  </w:style>
  <w:style w:type="paragraph" w:customStyle="1" w:styleId="Tiret2">
    <w:name w:val="Tiret 2"/>
    <w:basedOn w:val="Point2"/>
    <w:rsid w:val="00877878"/>
    <w:pPr>
      <w:numPr>
        <w:numId w:val="13"/>
      </w:numPr>
    </w:pPr>
  </w:style>
  <w:style w:type="paragraph" w:customStyle="1" w:styleId="Tiret3">
    <w:name w:val="Tiret 3"/>
    <w:basedOn w:val="Point3"/>
    <w:rsid w:val="00877878"/>
    <w:pPr>
      <w:numPr>
        <w:numId w:val="14"/>
      </w:numPr>
    </w:pPr>
  </w:style>
  <w:style w:type="paragraph" w:customStyle="1" w:styleId="Tiret4">
    <w:name w:val="Tiret 4"/>
    <w:basedOn w:val="Point4"/>
    <w:rsid w:val="00877878"/>
    <w:pPr>
      <w:numPr>
        <w:numId w:val="15"/>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6"/>
      </w:numPr>
    </w:pPr>
  </w:style>
  <w:style w:type="paragraph" w:customStyle="1" w:styleId="NumPar2">
    <w:name w:val="NumPar 2"/>
    <w:basedOn w:val="Normal"/>
    <w:next w:val="Text1"/>
    <w:rsid w:val="00877878"/>
    <w:pPr>
      <w:numPr>
        <w:ilvl w:val="1"/>
        <w:numId w:val="16"/>
      </w:numPr>
    </w:pPr>
  </w:style>
  <w:style w:type="paragraph" w:customStyle="1" w:styleId="NumPar3">
    <w:name w:val="NumPar 3"/>
    <w:basedOn w:val="Normal"/>
    <w:next w:val="Text1"/>
    <w:rsid w:val="00877878"/>
    <w:pPr>
      <w:numPr>
        <w:ilvl w:val="2"/>
        <w:numId w:val="16"/>
      </w:numPr>
    </w:pPr>
  </w:style>
  <w:style w:type="paragraph" w:customStyle="1" w:styleId="NumPar4">
    <w:name w:val="NumPar 4"/>
    <w:basedOn w:val="Normal"/>
    <w:next w:val="Text1"/>
    <w:rsid w:val="00877878"/>
    <w:pPr>
      <w:numPr>
        <w:ilvl w:val="3"/>
        <w:numId w:val="16"/>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18"/>
      </w:numPr>
    </w:pPr>
  </w:style>
  <w:style w:type="paragraph" w:customStyle="1" w:styleId="Point1number">
    <w:name w:val="Point 1 (number)"/>
    <w:basedOn w:val="Normal"/>
    <w:rsid w:val="00877878"/>
    <w:pPr>
      <w:numPr>
        <w:ilvl w:val="2"/>
        <w:numId w:val="18"/>
      </w:numPr>
    </w:pPr>
  </w:style>
  <w:style w:type="paragraph" w:customStyle="1" w:styleId="Point2number">
    <w:name w:val="Point 2 (number)"/>
    <w:basedOn w:val="Normal"/>
    <w:rsid w:val="00877878"/>
    <w:pPr>
      <w:numPr>
        <w:ilvl w:val="4"/>
        <w:numId w:val="18"/>
      </w:numPr>
    </w:pPr>
  </w:style>
  <w:style w:type="paragraph" w:customStyle="1" w:styleId="Point3number">
    <w:name w:val="Point 3 (number)"/>
    <w:basedOn w:val="Normal"/>
    <w:rsid w:val="00877878"/>
    <w:pPr>
      <w:numPr>
        <w:ilvl w:val="6"/>
        <w:numId w:val="18"/>
      </w:numPr>
    </w:pPr>
  </w:style>
  <w:style w:type="paragraph" w:customStyle="1" w:styleId="Point0letter">
    <w:name w:val="Point 0 (letter)"/>
    <w:basedOn w:val="Normal"/>
    <w:rsid w:val="00877878"/>
    <w:pPr>
      <w:numPr>
        <w:ilvl w:val="1"/>
        <w:numId w:val="18"/>
      </w:numPr>
    </w:pPr>
  </w:style>
  <w:style w:type="paragraph" w:customStyle="1" w:styleId="Point1letter">
    <w:name w:val="Point 1 (letter)"/>
    <w:basedOn w:val="Normal"/>
    <w:rsid w:val="00877878"/>
    <w:pPr>
      <w:numPr>
        <w:ilvl w:val="3"/>
        <w:numId w:val="18"/>
      </w:numPr>
    </w:pPr>
  </w:style>
  <w:style w:type="paragraph" w:customStyle="1" w:styleId="Point2letter">
    <w:name w:val="Point 2 (letter)"/>
    <w:basedOn w:val="Normal"/>
    <w:rsid w:val="00877878"/>
    <w:pPr>
      <w:numPr>
        <w:ilvl w:val="5"/>
        <w:numId w:val="18"/>
      </w:numPr>
    </w:pPr>
  </w:style>
  <w:style w:type="paragraph" w:customStyle="1" w:styleId="Point3letter">
    <w:name w:val="Point 3 (letter)"/>
    <w:basedOn w:val="Normal"/>
    <w:rsid w:val="00877878"/>
    <w:pPr>
      <w:numPr>
        <w:ilvl w:val="7"/>
        <w:numId w:val="18"/>
      </w:numPr>
    </w:pPr>
  </w:style>
  <w:style w:type="paragraph" w:customStyle="1" w:styleId="Point4letter">
    <w:name w:val="Point 4 (letter)"/>
    <w:basedOn w:val="Normal"/>
    <w:rsid w:val="00877878"/>
    <w:pPr>
      <w:numPr>
        <w:ilvl w:val="8"/>
        <w:numId w:val="18"/>
      </w:numPr>
    </w:pPr>
  </w:style>
  <w:style w:type="paragraph" w:customStyle="1" w:styleId="Bullet0">
    <w:name w:val="Bullet 0"/>
    <w:basedOn w:val="Normal"/>
    <w:rsid w:val="00877878"/>
    <w:pPr>
      <w:numPr>
        <w:numId w:val="19"/>
      </w:numPr>
    </w:pPr>
  </w:style>
  <w:style w:type="paragraph" w:customStyle="1" w:styleId="Bullet1">
    <w:name w:val="Bullet 1"/>
    <w:basedOn w:val="Normal"/>
    <w:rsid w:val="00877878"/>
    <w:pPr>
      <w:numPr>
        <w:numId w:val="20"/>
      </w:numPr>
    </w:pPr>
  </w:style>
  <w:style w:type="paragraph" w:customStyle="1" w:styleId="Bullet2">
    <w:name w:val="Bullet 2"/>
    <w:basedOn w:val="Normal"/>
    <w:rsid w:val="00877878"/>
    <w:pPr>
      <w:numPr>
        <w:numId w:val="21"/>
      </w:numPr>
    </w:pPr>
  </w:style>
  <w:style w:type="paragraph" w:customStyle="1" w:styleId="Bullet3">
    <w:name w:val="Bullet 3"/>
    <w:basedOn w:val="Normal"/>
    <w:rsid w:val="00877878"/>
    <w:pPr>
      <w:numPr>
        <w:numId w:val="22"/>
      </w:numPr>
    </w:pPr>
  </w:style>
  <w:style w:type="paragraph" w:customStyle="1" w:styleId="Bullet4">
    <w:name w:val="Bullet 4"/>
    <w:basedOn w:val="Normal"/>
    <w:rsid w:val="00877878"/>
    <w:pPr>
      <w:numPr>
        <w:numId w:val="23"/>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4"/>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7"/>
      </w:numPr>
      <w:outlineLvl w:val="3"/>
    </w:pPr>
    <w:rPr>
      <w:rFonts w:eastAsiaTheme="majorEastAsia"/>
      <w:bCs/>
      <w:iCs/>
    </w:rPr>
  </w:style>
  <w:style w:type="paragraph" w:styleId="Heading5">
    <w:name w:val="heading 5"/>
    <w:basedOn w:val="Normal"/>
    <w:next w:val="Normal"/>
    <w:link w:val="Heading5Char"/>
    <w:uiPriority w:val="99"/>
    <w:qFormat/>
    <w:rsid w:val="00912B9A"/>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rsid w:val="00912B9A"/>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rsid w:val="00912B9A"/>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rsid w:val="00912B9A"/>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rsid w:val="00912B9A"/>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912B9A"/>
    <w:rPr>
      <w:rFonts w:ascii="Arial" w:eastAsiaTheme="minorEastAsia" w:hAnsi="Arial" w:cs="Arial"/>
      <w:lang w:val="pl-PL"/>
    </w:rPr>
  </w:style>
  <w:style w:type="character" w:customStyle="1" w:styleId="Heading6Char">
    <w:name w:val="Heading 6 Char"/>
    <w:basedOn w:val="DefaultParagraphFont"/>
    <w:link w:val="Heading6"/>
    <w:uiPriority w:val="99"/>
    <w:rsid w:val="00912B9A"/>
    <w:rPr>
      <w:rFonts w:ascii="Arial" w:eastAsiaTheme="minorEastAsia" w:hAnsi="Arial" w:cs="Arial"/>
      <w:i/>
      <w:iCs/>
      <w:lang w:val="pl-PL"/>
    </w:rPr>
  </w:style>
  <w:style w:type="character" w:customStyle="1" w:styleId="Heading7Char">
    <w:name w:val="Heading 7 Char"/>
    <w:basedOn w:val="DefaultParagraphFont"/>
    <w:link w:val="Heading7"/>
    <w:uiPriority w:val="99"/>
    <w:rsid w:val="00912B9A"/>
    <w:rPr>
      <w:rFonts w:ascii="Arial" w:eastAsiaTheme="minorEastAsia" w:hAnsi="Arial" w:cs="Arial"/>
      <w:sz w:val="20"/>
      <w:szCs w:val="20"/>
      <w:lang w:val="pl-PL"/>
    </w:rPr>
  </w:style>
  <w:style w:type="character" w:customStyle="1" w:styleId="Heading8Char">
    <w:name w:val="Heading 8 Char"/>
    <w:basedOn w:val="DefaultParagraphFont"/>
    <w:link w:val="Heading8"/>
    <w:uiPriority w:val="99"/>
    <w:rsid w:val="00912B9A"/>
    <w:rPr>
      <w:rFonts w:ascii="Arial" w:eastAsiaTheme="minorEastAsia" w:hAnsi="Arial" w:cs="Arial"/>
      <w:i/>
      <w:iCs/>
      <w:sz w:val="20"/>
      <w:szCs w:val="20"/>
      <w:lang w:val="pl-PL"/>
    </w:rPr>
  </w:style>
  <w:style w:type="character" w:customStyle="1" w:styleId="Heading9Char">
    <w:name w:val="Heading 9 Char"/>
    <w:basedOn w:val="DefaultParagraphFont"/>
    <w:link w:val="Heading9"/>
    <w:uiPriority w:val="99"/>
    <w:rsid w:val="00912B9A"/>
    <w:rPr>
      <w:rFonts w:ascii="Arial" w:eastAsiaTheme="minorEastAsia" w:hAnsi="Arial" w:cs="Arial"/>
      <w:i/>
      <w:iCs/>
      <w:sz w:val="18"/>
      <w:szCs w:val="18"/>
      <w:lang w:val="pl-PL"/>
    </w:rPr>
  </w:style>
  <w:style w:type="paragraph" w:styleId="Caption">
    <w:name w:val="caption"/>
    <w:basedOn w:val="Normal"/>
    <w:next w:val="Normal"/>
    <w:uiPriority w:val="99"/>
    <w:qFormat/>
    <w:rsid w:val="00912B9A"/>
    <w:pPr>
      <w:autoSpaceDE w:val="0"/>
      <w:autoSpaceDN w:val="0"/>
    </w:pPr>
    <w:rPr>
      <w:rFonts w:eastAsiaTheme="minorEastAsia"/>
      <w:b/>
      <w:bCs/>
      <w:szCs w:val="24"/>
    </w:rPr>
  </w:style>
  <w:style w:type="character" w:styleId="CommentReference">
    <w:name w:val="annotation reference"/>
    <w:basedOn w:val="DefaultParagraphFont"/>
    <w:uiPriority w:val="99"/>
    <w:rsid w:val="00912B9A"/>
    <w:rPr>
      <w:rFonts w:cs="Times New Roman"/>
      <w:sz w:val="16"/>
      <w:szCs w:val="16"/>
    </w:rPr>
  </w:style>
  <w:style w:type="paragraph" w:styleId="CommentText">
    <w:name w:val="annotation text"/>
    <w:basedOn w:val="Normal"/>
    <w:link w:val="CommentTextChar"/>
    <w:uiPriority w:val="99"/>
    <w:rsid w:val="00912B9A"/>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sid w:val="00912B9A"/>
    <w:rPr>
      <w:rFonts w:ascii="Times New Roman" w:eastAsiaTheme="minorEastAsia" w:hAnsi="Times New Roman" w:cs="Times New Roman"/>
      <w:sz w:val="20"/>
      <w:szCs w:val="20"/>
      <w:lang w:val="pl-PL"/>
    </w:rPr>
  </w:style>
  <w:style w:type="paragraph" w:customStyle="1" w:styleId="FichedimpactPMEtitre">
    <w:name w:val="Fiche d'impact PME titre"/>
    <w:basedOn w:val="Normal"/>
    <w:next w:val="Normal"/>
    <w:uiPriority w:val="99"/>
    <w:rsid w:val="00912B9A"/>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rsid w:val="00912B9A"/>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rsid w:val="00912B9A"/>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rsid w:val="00912B9A"/>
    <w:pPr>
      <w:autoSpaceDE w:val="0"/>
      <w:autoSpaceDN w:val="0"/>
      <w:jc w:val="center"/>
    </w:pPr>
    <w:rPr>
      <w:rFonts w:eastAsiaTheme="minorEastAsia"/>
      <w:b/>
      <w:bCs/>
      <w:sz w:val="40"/>
      <w:szCs w:val="40"/>
    </w:rPr>
  </w:style>
  <w:style w:type="character" w:styleId="PageNumber">
    <w:name w:val="page number"/>
    <w:basedOn w:val="DefaultParagraphFont"/>
    <w:uiPriority w:val="99"/>
    <w:rsid w:val="00912B9A"/>
    <w:rPr>
      <w:rFonts w:cs="Times New Roman"/>
    </w:rPr>
  </w:style>
  <w:style w:type="paragraph" w:styleId="TOAHeading">
    <w:name w:val="toa heading"/>
    <w:basedOn w:val="Normal"/>
    <w:next w:val="Normal"/>
    <w:uiPriority w:val="99"/>
    <w:rsid w:val="00912B9A"/>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rsid w:val="00912B9A"/>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rsid w:val="00912B9A"/>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rsid w:val="00912B9A"/>
    <w:pPr>
      <w:autoSpaceDE w:val="0"/>
      <w:autoSpaceDN w:val="0"/>
      <w:spacing w:before="0"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12B9A"/>
    <w:rPr>
      <w:rFonts w:ascii="Segoe UI" w:eastAsiaTheme="minorEastAsia" w:hAnsi="Segoe UI" w:cs="Segoe UI"/>
      <w:sz w:val="18"/>
      <w:szCs w:val="18"/>
      <w:lang w:val="pl-PL"/>
    </w:rPr>
  </w:style>
  <w:style w:type="paragraph" w:styleId="CommentSubject">
    <w:name w:val="annotation subject"/>
    <w:basedOn w:val="CommentText"/>
    <w:next w:val="CommentText"/>
    <w:link w:val="CommentSubjectChar"/>
    <w:uiPriority w:val="99"/>
    <w:semiHidden/>
    <w:unhideWhenUsed/>
    <w:rsid w:val="00912B9A"/>
    <w:rPr>
      <w:b/>
      <w:bCs/>
    </w:rPr>
  </w:style>
  <w:style w:type="character" w:customStyle="1" w:styleId="CommentSubjectChar">
    <w:name w:val="Comment Subject Char"/>
    <w:basedOn w:val="CommentTextChar"/>
    <w:link w:val="CommentSubject"/>
    <w:uiPriority w:val="99"/>
    <w:semiHidden/>
    <w:rsid w:val="00912B9A"/>
    <w:rPr>
      <w:rFonts w:ascii="Times New Roman" w:eastAsiaTheme="minorEastAsia" w:hAnsi="Times New Roman" w:cs="Times New Roman"/>
      <w:b/>
      <w:bCs/>
      <w:sz w:val="20"/>
      <w:szCs w:val="20"/>
      <w:lang w:val="pl-PL"/>
    </w:rPr>
  </w:style>
  <w:style w:type="paragraph" w:styleId="Revision">
    <w:name w:val="Revision"/>
    <w:hidden/>
    <w:uiPriority w:val="99"/>
    <w:semiHidden/>
    <w:rsid w:val="00912B9A"/>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912B9A"/>
    <w:pPr>
      <w:spacing w:before="0" w:after="160" w:line="259" w:lineRule="auto"/>
      <w:ind w:left="720"/>
      <w:contextualSpacing/>
      <w:jc w:val="left"/>
    </w:pPr>
    <w:rPr>
      <w:rFonts w:ascii="Calibri" w:eastAsiaTheme="minorEastAsia" w:hAnsi="Calibri"/>
      <w:sz w:val="22"/>
    </w:rPr>
  </w:style>
  <w:style w:type="paragraph" w:customStyle="1" w:styleId="Default">
    <w:name w:val="Default"/>
    <w:basedOn w:val="Normal"/>
    <w:rsid w:val="00912B9A"/>
    <w:pPr>
      <w:autoSpaceDE w:val="0"/>
      <w:autoSpaceDN w:val="0"/>
      <w:adjustRightInd w:val="0"/>
      <w:spacing w:before="0" w:after="0"/>
    </w:pPr>
    <w:rPr>
      <w:rFonts w:ascii="Calibri" w:eastAsiaTheme="minorEastAsia" w:hAnsi="Calibri"/>
      <w:color w:val="000000"/>
      <w:sz w:val="20"/>
      <w:szCs w:val="24"/>
    </w:rPr>
  </w:style>
  <w:style w:type="paragraph" w:customStyle="1" w:styleId="CM4">
    <w:name w:val="CM4"/>
    <w:basedOn w:val="Default"/>
    <w:next w:val="Default"/>
    <w:uiPriority w:val="99"/>
    <w:rsid w:val="00912B9A"/>
  </w:style>
  <w:style w:type="character" w:customStyle="1" w:styleId="ListParagraphChar">
    <w:name w:val="List Paragraph Char"/>
    <w:link w:val="ListParagraph"/>
    <w:uiPriority w:val="34"/>
    <w:locked/>
    <w:rsid w:val="00912B9A"/>
    <w:rPr>
      <w:rFonts w:ascii="Calibri" w:eastAsiaTheme="minorEastAsia" w:hAnsi="Calibri" w:cs="Times New Roman"/>
      <w:lang w:val="pl-PL"/>
    </w:rPr>
  </w:style>
  <w:style w:type="paragraph" w:styleId="EndnoteText">
    <w:name w:val="endnote text"/>
    <w:basedOn w:val="Normal"/>
    <w:link w:val="EndnoteTextChar"/>
    <w:uiPriority w:val="99"/>
    <w:semiHidden/>
    <w:unhideWhenUsed/>
    <w:rsid w:val="00912B9A"/>
    <w:pPr>
      <w:autoSpaceDE w:val="0"/>
      <w:autoSpaceDN w:val="0"/>
    </w:pPr>
    <w:rPr>
      <w:rFonts w:eastAsiaTheme="minorEastAsia"/>
      <w:sz w:val="20"/>
      <w:szCs w:val="20"/>
    </w:rPr>
  </w:style>
  <w:style w:type="character" w:customStyle="1" w:styleId="EndnoteTextChar">
    <w:name w:val="Endnote Text Char"/>
    <w:basedOn w:val="DefaultParagraphFont"/>
    <w:link w:val="EndnoteText"/>
    <w:uiPriority w:val="99"/>
    <w:semiHidden/>
    <w:rsid w:val="00912B9A"/>
    <w:rPr>
      <w:rFonts w:ascii="Times New Roman" w:eastAsiaTheme="minorEastAsia" w:hAnsi="Times New Roman" w:cs="Times New Roman"/>
      <w:sz w:val="20"/>
      <w:szCs w:val="20"/>
      <w:lang w:val="pl-PL"/>
    </w:rPr>
  </w:style>
  <w:style w:type="character" w:styleId="EndnoteReference">
    <w:name w:val="endnote reference"/>
    <w:basedOn w:val="DefaultParagraphFont"/>
    <w:uiPriority w:val="99"/>
    <w:semiHidden/>
    <w:unhideWhenUsed/>
    <w:rsid w:val="00912B9A"/>
    <w:rPr>
      <w:rFonts w:cs="Times New Roman"/>
      <w:vertAlign w:val="superscript"/>
    </w:rPr>
  </w:style>
  <w:style w:type="table" w:styleId="TableGrid">
    <w:name w:val="Table Grid"/>
    <w:basedOn w:val="TableNormal"/>
    <w:uiPriority w:val="39"/>
    <w:rsid w:val="00912B9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B9A"/>
    <w:rPr>
      <w:color w:val="0000FF"/>
      <w:u w:val="single"/>
    </w:rPr>
  </w:style>
  <w:style w:type="paragraph" w:customStyle="1" w:styleId="Footnote">
    <w:name w:val="Footnote"/>
    <w:basedOn w:val="Normal"/>
    <w:uiPriority w:val="10"/>
    <w:qFormat/>
    <w:rsid w:val="00912B9A"/>
    <w:pPr>
      <w:spacing w:before="0" w:after="0"/>
    </w:pPr>
    <w:rPr>
      <w:rFonts w:asciiTheme="minorHAnsi" w:hAnsiTheme="minorHAnsi" w:cstheme="minorBidi"/>
      <w:i/>
      <w:color w:val="002034"/>
      <w:sz w:val="16"/>
      <w:szCs w:val="16"/>
    </w:rPr>
  </w:style>
  <w:style w:type="paragraph" w:styleId="ListNumber">
    <w:name w:val="List Number"/>
    <w:basedOn w:val="Normal"/>
    <w:uiPriority w:val="99"/>
    <w:semiHidden/>
    <w:unhideWhenUsed/>
    <w:rsid w:val="00912B9A"/>
    <w:pPr>
      <w:numPr>
        <w:numId w:val="5"/>
      </w:numPr>
      <w:contextualSpacing/>
    </w:pPr>
  </w:style>
  <w:style w:type="paragraph" w:styleId="ListNumber2">
    <w:name w:val="List Number 2"/>
    <w:basedOn w:val="Normal"/>
    <w:uiPriority w:val="99"/>
    <w:semiHidden/>
    <w:unhideWhenUsed/>
    <w:rsid w:val="00912B9A"/>
    <w:pPr>
      <w:numPr>
        <w:numId w:val="6"/>
      </w:numPr>
      <w:contextualSpacing/>
    </w:pPr>
  </w:style>
  <w:style w:type="paragraph" w:styleId="ListNumber3">
    <w:name w:val="List Number 3"/>
    <w:basedOn w:val="Normal"/>
    <w:uiPriority w:val="99"/>
    <w:semiHidden/>
    <w:unhideWhenUsed/>
    <w:rsid w:val="00912B9A"/>
    <w:pPr>
      <w:numPr>
        <w:numId w:val="7"/>
      </w:numPr>
      <w:contextualSpacing/>
    </w:pPr>
  </w:style>
  <w:style w:type="paragraph" w:styleId="ListNumber4">
    <w:name w:val="List Number 4"/>
    <w:basedOn w:val="Normal"/>
    <w:uiPriority w:val="99"/>
    <w:semiHidden/>
    <w:unhideWhenUsed/>
    <w:rsid w:val="00912B9A"/>
    <w:pPr>
      <w:numPr>
        <w:numId w:val="8"/>
      </w:numPr>
      <w:contextualSpacing/>
    </w:pPr>
  </w:style>
  <w:style w:type="paragraph" w:styleId="ListBullet">
    <w:name w:val="List Bullet"/>
    <w:basedOn w:val="Normal"/>
    <w:uiPriority w:val="99"/>
    <w:semiHidden/>
    <w:unhideWhenUsed/>
    <w:rsid w:val="00912B9A"/>
    <w:pPr>
      <w:numPr>
        <w:numId w:val="1"/>
      </w:numPr>
      <w:contextualSpacing/>
    </w:pPr>
  </w:style>
  <w:style w:type="paragraph" w:styleId="ListBullet2">
    <w:name w:val="List Bullet 2"/>
    <w:basedOn w:val="Normal"/>
    <w:uiPriority w:val="99"/>
    <w:semiHidden/>
    <w:unhideWhenUsed/>
    <w:rsid w:val="00912B9A"/>
    <w:pPr>
      <w:numPr>
        <w:numId w:val="2"/>
      </w:numPr>
      <w:contextualSpacing/>
    </w:pPr>
  </w:style>
  <w:style w:type="paragraph" w:styleId="ListBullet3">
    <w:name w:val="List Bullet 3"/>
    <w:basedOn w:val="Normal"/>
    <w:uiPriority w:val="99"/>
    <w:semiHidden/>
    <w:unhideWhenUsed/>
    <w:rsid w:val="00912B9A"/>
    <w:pPr>
      <w:numPr>
        <w:numId w:val="3"/>
      </w:numPr>
      <w:contextualSpacing/>
    </w:pPr>
  </w:style>
  <w:style w:type="paragraph" w:styleId="ListBullet4">
    <w:name w:val="List Bullet 4"/>
    <w:basedOn w:val="Normal"/>
    <w:uiPriority w:val="99"/>
    <w:semiHidden/>
    <w:unhideWhenUsed/>
    <w:rsid w:val="00912B9A"/>
    <w:pPr>
      <w:numPr>
        <w:numId w:val="4"/>
      </w:numPr>
      <w:contextualSpacing/>
    </w:pPr>
  </w:style>
  <w:style w:type="paragraph" w:styleId="TableofFigures">
    <w:name w:val="table of figures"/>
    <w:basedOn w:val="Normal"/>
    <w:next w:val="Normal"/>
    <w:uiPriority w:val="99"/>
    <w:semiHidden/>
    <w:unhideWhenUsed/>
    <w:rsid w:val="003E02FC"/>
    <w:pPr>
      <w:spacing w:after="0"/>
    </w:p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1"/>
      </w:numPr>
    </w:pPr>
  </w:style>
  <w:style w:type="paragraph" w:customStyle="1" w:styleId="Tiret1">
    <w:name w:val="Tiret 1"/>
    <w:basedOn w:val="Point1"/>
    <w:rsid w:val="00877878"/>
    <w:pPr>
      <w:numPr>
        <w:numId w:val="12"/>
      </w:numPr>
    </w:pPr>
  </w:style>
  <w:style w:type="paragraph" w:customStyle="1" w:styleId="Tiret2">
    <w:name w:val="Tiret 2"/>
    <w:basedOn w:val="Point2"/>
    <w:rsid w:val="00877878"/>
    <w:pPr>
      <w:numPr>
        <w:numId w:val="13"/>
      </w:numPr>
    </w:pPr>
  </w:style>
  <w:style w:type="paragraph" w:customStyle="1" w:styleId="Tiret3">
    <w:name w:val="Tiret 3"/>
    <w:basedOn w:val="Point3"/>
    <w:rsid w:val="00877878"/>
    <w:pPr>
      <w:numPr>
        <w:numId w:val="14"/>
      </w:numPr>
    </w:pPr>
  </w:style>
  <w:style w:type="paragraph" w:customStyle="1" w:styleId="Tiret4">
    <w:name w:val="Tiret 4"/>
    <w:basedOn w:val="Point4"/>
    <w:rsid w:val="00877878"/>
    <w:pPr>
      <w:numPr>
        <w:numId w:val="15"/>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6"/>
      </w:numPr>
    </w:pPr>
  </w:style>
  <w:style w:type="paragraph" w:customStyle="1" w:styleId="NumPar2">
    <w:name w:val="NumPar 2"/>
    <w:basedOn w:val="Normal"/>
    <w:next w:val="Text1"/>
    <w:rsid w:val="00877878"/>
    <w:pPr>
      <w:numPr>
        <w:ilvl w:val="1"/>
        <w:numId w:val="16"/>
      </w:numPr>
    </w:pPr>
  </w:style>
  <w:style w:type="paragraph" w:customStyle="1" w:styleId="NumPar3">
    <w:name w:val="NumPar 3"/>
    <w:basedOn w:val="Normal"/>
    <w:next w:val="Text1"/>
    <w:rsid w:val="00877878"/>
    <w:pPr>
      <w:numPr>
        <w:ilvl w:val="2"/>
        <w:numId w:val="16"/>
      </w:numPr>
    </w:pPr>
  </w:style>
  <w:style w:type="paragraph" w:customStyle="1" w:styleId="NumPar4">
    <w:name w:val="NumPar 4"/>
    <w:basedOn w:val="Normal"/>
    <w:next w:val="Text1"/>
    <w:rsid w:val="00877878"/>
    <w:pPr>
      <w:numPr>
        <w:ilvl w:val="3"/>
        <w:numId w:val="16"/>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18"/>
      </w:numPr>
    </w:pPr>
  </w:style>
  <w:style w:type="paragraph" w:customStyle="1" w:styleId="Point1number">
    <w:name w:val="Point 1 (number)"/>
    <w:basedOn w:val="Normal"/>
    <w:rsid w:val="00877878"/>
    <w:pPr>
      <w:numPr>
        <w:ilvl w:val="2"/>
        <w:numId w:val="18"/>
      </w:numPr>
    </w:pPr>
  </w:style>
  <w:style w:type="paragraph" w:customStyle="1" w:styleId="Point2number">
    <w:name w:val="Point 2 (number)"/>
    <w:basedOn w:val="Normal"/>
    <w:rsid w:val="00877878"/>
    <w:pPr>
      <w:numPr>
        <w:ilvl w:val="4"/>
        <w:numId w:val="18"/>
      </w:numPr>
    </w:pPr>
  </w:style>
  <w:style w:type="paragraph" w:customStyle="1" w:styleId="Point3number">
    <w:name w:val="Point 3 (number)"/>
    <w:basedOn w:val="Normal"/>
    <w:rsid w:val="00877878"/>
    <w:pPr>
      <w:numPr>
        <w:ilvl w:val="6"/>
        <w:numId w:val="18"/>
      </w:numPr>
    </w:pPr>
  </w:style>
  <w:style w:type="paragraph" w:customStyle="1" w:styleId="Point0letter">
    <w:name w:val="Point 0 (letter)"/>
    <w:basedOn w:val="Normal"/>
    <w:rsid w:val="00877878"/>
    <w:pPr>
      <w:numPr>
        <w:ilvl w:val="1"/>
        <w:numId w:val="18"/>
      </w:numPr>
    </w:pPr>
  </w:style>
  <w:style w:type="paragraph" w:customStyle="1" w:styleId="Point1letter">
    <w:name w:val="Point 1 (letter)"/>
    <w:basedOn w:val="Normal"/>
    <w:rsid w:val="00877878"/>
    <w:pPr>
      <w:numPr>
        <w:ilvl w:val="3"/>
        <w:numId w:val="18"/>
      </w:numPr>
    </w:pPr>
  </w:style>
  <w:style w:type="paragraph" w:customStyle="1" w:styleId="Point2letter">
    <w:name w:val="Point 2 (letter)"/>
    <w:basedOn w:val="Normal"/>
    <w:rsid w:val="00877878"/>
    <w:pPr>
      <w:numPr>
        <w:ilvl w:val="5"/>
        <w:numId w:val="18"/>
      </w:numPr>
    </w:pPr>
  </w:style>
  <w:style w:type="paragraph" w:customStyle="1" w:styleId="Point3letter">
    <w:name w:val="Point 3 (letter)"/>
    <w:basedOn w:val="Normal"/>
    <w:rsid w:val="00877878"/>
    <w:pPr>
      <w:numPr>
        <w:ilvl w:val="7"/>
        <w:numId w:val="18"/>
      </w:numPr>
    </w:pPr>
  </w:style>
  <w:style w:type="paragraph" w:customStyle="1" w:styleId="Point4letter">
    <w:name w:val="Point 4 (letter)"/>
    <w:basedOn w:val="Normal"/>
    <w:rsid w:val="00877878"/>
    <w:pPr>
      <w:numPr>
        <w:ilvl w:val="8"/>
        <w:numId w:val="18"/>
      </w:numPr>
    </w:pPr>
  </w:style>
  <w:style w:type="paragraph" w:customStyle="1" w:styleId="Bullet0">
    <w:name w:val="Bullet 0"/>
    <w:basedOn w:val="Normal"/>
    <w:rsid w:val="00877878"/>
    <w:pPr>
      <w:numPr>
        <w:numId w:val="19"/>
      </w:numPr>
    </w:pPr>
  </w:style>
  <w:style w:type="paragraph" w:customStyle="1" w:styleId="Bullet1">
    <w:name w:val="Bullet 1"/>
    <w:basedOn w:val="Normal"/>
    <w:rsid w:val="00877878"/>
    <w:pPr>
      <w:numPr>
        <w:numId w:val="20"/>
      </w:numPr>
    </w:pPr>
  </w:style>
  <w:style w:type="paragraph" w:customStyle="1" w:styleId="Bullet2">
    <w:name w:val="Bullet 2"/>
    <w:basedOn w:val="Normal"/>
    <w:rsid w:val="00877878"/>
    <w:pPr>
      <w:numPr>
        <w:numId w:val="21"/>
      </w:numPr>
    </w:pPr>
  </w:style>
  <w:style w:type="paragraph" w:customStyle="1" w:styleId="Bullet3">
    <w:name w:val="Bullet 3"/>
    <w:basedOn w:val="Normal"/>
    <w:rsid w:val="00877878"/>
    <w:pPr>
      <w:numPr>
        <w:numId w:val="22"/>
      </w:numPr>
    </w:pPr>
  </w:style>
  <w:style w:type="paragraph" w:customStyle="1" w:styleId="Bullet4">
    <w:name w:val="Bullet 4"/>
    <w:basedOn w:val="Normal"/>
    <w:rsid w:val="00877878"/>
    <w:pPr>
      <w:numPr>
        <w:numId w:val="23"/>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4"/>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BAB3-44D1-42DE-938D-F37F34C5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1772</Words>
  <Characters>11778</Characters>
  <Application>Microsoft Office Word</Application>
  <DocSecurity>0</DocSecurity>
  <Lines>205</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COLET</dc:creator>
  <cp:lastModifiedBy>MULARCZYK Mariola Ewa (DGT)</cp:lastModifiedBy>
  <cp:revision>3</cp:revision>
  <cp:lastPrinted>2017-10-27T10:26:00Z</cp:lastPrinted>
  <dcterms:created xsi:type="dcterms:W3CDTF">2017-11-29T10:58:00Z</dcterms:created>
  <dcterms:modified xsi:type="dcterms:W3CDTF">2017-11-29T10:58:00Z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LWCR Document">
    <vt:lpwstr>True</vt:lpwstr>
  </property>
  <property fmtid="{D5CDD505-2E9C-101B-9397-08002B2CF9AE}" pid="7" name="LWCR Version">
    <vt:lpwstr>1.3.3</vt:lpwstr>
  </property>
  <property fmtid="{D5CDD505-2E9C-101B-9397-08002B2CF9AE}" pid="8" name="ContentTypeId">
    <vt:lpwstr>0x010100CA9806D3932DA942ADAA782981EB548D17008047D739D24F3E43BB40B3993138E0FA</vt:lpwstr>
  </property>
  <property fmtid="{D5CDD505-2E9C-101B-9397-08002B2CF9AE}" pid="9" name="l2b697698c5b48f3a6ba074d712c5d22">
    <vt:lpwstr>Management Meeting|cae9c8c3-25e5-4a5d-a79e-0d4b202fb7e0</vt:lpwstr>
  </property>
  <property fmtid="{D5CDD505-2E9C-101B-9397-08002B2CF9AE}" pid="10" name="d6a99a24ad8d40daa6faef244685dc83">
    <vt:lpwstr>05. Evaluation, Management and Resources|9f9117f7-1e8b-4faa-b934-61c8eb6161ac</vt:lpwstr>
  </property>
  <property fmtid="{D5CDD505-2E9C-101B-9397-08002B2CF9AE}" pid="11" name="_dlc_DocIdItemGuid">
    <vt:lpwstr>5431b164-0db0-40ec-a475-1621d213aa09</vt:lpwstr>
  </property>
  <property fmtid="{D5CDD505-2E9C-101B-9397-08002B2CF9AE}" pid="12" name="Origin-Author">
    <vt:lpwstr>141;#ERA|8287c6ea-6f12-4bfd-9fc9-6825fce534f5</vt:lpwstr>
  </property>
  <property fmtid="{D5CDD505-2E9C-101B-9397-08002B2CF9AE}" pid="13" name="ABS">
    <vt:lpwstr>491;#05. Evaluation, Management and Resources|9f9117f7-1e8b-4faa-b934-61c8eb6161ac</vt:lpwstr>
  </property>
  <property fmtid="{D5CDD505-2E9C-101B-9397-08002B2CF9AE}" pid="14" name="Archive Area">
    <vt:lpwstr>721;#Management Meeting|cae9c8c3-25e5-4a5d-a79e-0d4b202fb7e0</vt:lpwstr>
  </property>
  <property fmtid="{D5CDD505-2E9C-101B-9397-08002B2CF9AE}" pid="15" name="Document type">
    <vt:lpwstr>863;#Recommendation|0094251b-2d02-430f-82dc-3bdbe5b6329a</vt:lpwstr>
  </property>
  <property fmtid="{D5CDD505-2E9C-101B-9397-08002B2CF9AE}" pid="16" name="Process">
    <vt:lpwstr>579;#Project, Programme and Service management|51511ef3-5a60-4eaa-8f0e-9a1ea670b699</vt:lpwstr>
  </property>
  <property fmtid="{D5CDD505-2E9C-101B-9397-08002B2CF9AE}" pid="17" name="4RP Project">
    <vt:lpwstr>864;#01-05 – CSMs revision|21a13817-79af-4422-933f-298774ae403b</vt:lpwstr>
  </property>
  <property fmtid="{D5CDD505-2E9C-101B-9397-08002B2CF9AE}" pid="18" name="Part">
    <vt:lpwstr>1</vt:lpwstr>
  </property>
  <property fmtid="{D5CDD505-2E9C-101B-9397-08002B2CF9AE}" pid="19" name="Total parts">
    <vt:lpwstr>1</vt:lpwstr>
  </property>
  <property fmtid="{D5CDD505-2E9C-101B-9397-08002B2CF9AE}" pid="20" name="LWTemplateID">
    <vt:lpwstr>SJ-003</vt:lpwstr>
  </property>
  <property fmtid="{D5CDD505-2E9C-101B-9397-08002B2CF9AE}" pid="21" name="Level of sensitivity">
    <vt:lpwstr>Standard treatment</vt:lpwstr>
  </property>
  <property fmtid="{D5CDD505-2E9C-101B-9397-08002B2CF9AE}" pid="22" name="DQCStatus">
    <vt:lpwstr>Green (DQC version 03)</vt:lpwstr>
  </property>
</Properties>
</file>