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7D" w:rsidRDefault="00172361" w:rsidP="003852CD">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227582D915848338B33602705AC4E24" style="width:450.75pt;height:408.75pt">
            <v:imagedata r:id="rId8" o:title=""/>
          </v:shape>
        </w:pict>
      </w:r>
    </w:p>
    <w:p w:rsidR="006E547D" w:rsidRDefault="006E547D" w:rsidP="006E547D">
      <w:pPr>
        <w:sectPr w:rsidR="006E547D" w:rsidSect="00A07C5C">
          <w:footerReference w:type="default" r:id="rId9"/>
          <w:pgSz w:w="11907" w:h="16839"/>
          <w:pgMar w:top="1134" w:right="1417" w:bottom="1134" w:left="1417" w:header="709" w:footer="709" w:gutter="0"/>
          <w:pgNumType w:start="1"/>
          <w:cols w:space="720"/>
          <w:docGrid w:linePitch="360"/>
        </w:sectPr>
      </w:pPr>
    </w:p>
    <w:p w:rsidR="006E547D" w:rsidRPr="00FB18DC" w:rsidRDefault="006E547D" w:rsidP="00A75600">
      <w:pPr>
        <w:pStyle w:val="Exposdesmotifstitre"/>
      </w:pPr>
      <w:r w:rsidRPr="00FB18DC">
        <w:lastRenderedPageBreak/>
        <w:t>EXPLANATORY MEMORANDUM</w:t>
      </w:r>
    </w:p>
    <w:p w:rsidR="006E547D" w:rsidRDefault="006E547D" w:rsidP="006E547D">
      <w:pPr>
        <w:pStyle w:val="ManualHeading1"/>
      </w:pPr>
      <w:r w:rsidRPr="00FB18DC">
        <w:t>1.</w:t>
      </w:r>
      <w:r w:rsidRPr="00FB18DC">
        <w:tab/>
      </w:r>
      <w:r>
        <w:t>CONTEXT OF THE DELEGATED ACT</w:t>
      </w:r>
    </w:p>
    <w:p w:rsidR="006E547D" w:rsidRDefault="006E547D" w:rsidP="006E547D">
      <w:pPr>
        <w:rPr>
          <w:noProof/>
        </w:rPr>
      </w:pPr>
      <w:r w:rsidRPr="00F70E72">
        <w:rPr>
          <w:noProof/>
        </w:rPr>
        <w:t xml:space="preserve">One of the purposes of Directive </w:t>
      </w:r>
      <w:r>
        <w:rPr>
          <w:noProof/>
        </w:rPr>
        <w:t>(EU)</w:t>
      </w:r>
      <w:r w:rsidRPr="00623C18">
        <w:rPr>
          <w:noProof/>
        </w:rPr>
        <w:t xml:space="preserve"> </w:t>
      </w:r>
      <w:r>
        <w:rPr>
          <w:noProof/>
        </w:rPr>
        <w:t>2016</w:t>
      </w:r>
      <w:r w:rsidRPr="00623C18">
        <w:rPr>
          <w:noProof/>
        </w:rPr>
        <w:t>/</w:t>
      </w:r>
      <w:r>
        <w:rPr>
          <w:noProof/>
        </w:rPr>
        <w:t>798</w:t>
      </w:r>
      <w:r w:rsidRPr="00F70E72">
        <w:rPr>
          <w:noProof/>
        </w:rPr>
        <w:t xml:space="preserve"> is to improve access to the market for rail transport services by defining common principles for the management, regulation and supervision of railway safety. </w:t>
      </w:r>
      <w:r>
        <w:rPr>
          <w:noProof/>
        </w:rPr>
        <w:t xml:space="preserve">In particular, Article 16(2)(j) and Article 17(1) of </w:t>
      </w:r>
      <w:r w:rsidRPr="00F70E72">
        <w:rPr>
          <w:noProof/>
        </w:rPr>
        <w:t xml:space="preserve">Directive </w:t>
      </w:r>
      <w:r>
        <w:rPr>
          <w:noProof/>
        </w:rPr>
        <w:t>(EU)</w:t>
      </w:r>
      <w:r w:rsidRPr="00623C18">
        <w:rPr>
          <w:noProof/>
        </w:rPr>
        <w:t xml:space="preserve"> </w:t>
      </w:r>
      <w:r>
        <w:rPr>
          <w:noProof/>
        </w:rPr>
        <w:t>2016</w:t>
      </w:r>
      <w:r w:rsidRPr="00623C18">
        <w:rPr>
          <w:noProof/>
        </w:rPr>
        <w:t>/</w:t>
      </w:r>
      <w:r>
        <w:rPr>
          <w:noProof/>
        </w:rPr>
        <w:t>798</w:t>
      </w:r>
      <w:r w:rsidRPr="00F70E72">
        <w:rPr>
          <w:noProof/>
        </w:rPr>
        <w:t xml:space="preserve"> </w:t>
      </w:r>
      <w:r>
        <w:rPr>
          <w:noProof/>
        </w:rPr>
        <w:t>require the national safety authorities to oversee continued compliance with the legal obligation incumbent on railway undertakings and infrastructure managers to use a safety management system as referred to in Article 9 of that Directive.</w:t>
      </w:r>
    </w:p>
    <w:p w:rsidR="006E547D" w:rsidRPr="0012110C" w:rsidRDefault="006E547D" w:rsidP="006E547D">
      <w:r>
        <w:rPr>
          <w:noProof/>
        </w:rPr>
        <w:t xml:space="preserve">Article 6(1)(c) of </w:t>
      </w:r>
      <w:r w:rsidRPr="00F70E72">
        <w:rPr>
          <w:noProof/>
        </w:rPr>
        <w:t xml:space="preserve">Directive </w:t>
      </w:r>
      <w:r>
        <w:rPr>
          <w:noProof/>
        </w:rPr>
        <w:t>(EU)</w:t>
      </w:r>
      <w:r w:rsidRPr="00623C18">
        <w:rPr>
          <w:noProof/>
        </w:rPr>
        <w:t xml:space="preserve"> </w:t>
      </w:r>
      <w:r>
        <w:rPr>
          <w:noProof/>
        </w:rPr>
        <w:t>2016</w:t>
      </w:r>
      <w:r w:rsidRPr="00623C18">
        <w:rPr>
          <w:noProof/>
        </w:rPr>
        <w:t>/</w:t>
      </w:r>
      <w:r>
        <w:rPr>
          <w:noProof/>
        </w:rPr>
        <w:t>798</w:t>
      </w:r>
      <w:r w:rsidRPr="00A86AF9">
        <w:rPr>
          <w:noProof/>
        </w:rPr>
        <w:t xml:space="preserve"> provide</w:t>
      </w:r>
      <w:r>
        <w:rPr>
          <w:noProof/>
        </w:rPr>
        <w:t>s</w:t>
      </w:r>
      <w:r w:rsidRPr="00A86AF9">
        <w:rPr>
          <w:noProof/>
        </w:rPr>
        <w:t xml:space="preserve"> a framework for </w:t>
      </w:r>
      <w:r>
        <w:rPr>
          <w:noProof/>
        </w:rPr>
        <w:t xml:space="preserve">national safety </w:t>
      </w:r>
      <w:r w:rsidRPr="00A86AF9">
        <w:rPr>
          <w:noProof/>
        </w:rPr>
        <w:t>authorities</w:t>
      </w:r>
      <w:r>
        <w:rPr>
          <w:noProof/>
        </w:rPr>
        <w:t xml:space="preserve"> </w:t>
      </w:r>
      <w:r w:rsidRPr="00A86AF9">
        <w:rPr>
          <w:noProof/>
        </w:rPr>
        <w:t xml:space="preserve">to harmonise their </w:t>
      </w:r>
      <w:r>
        <w:rPr>
          <w:noProof/>
        </w:rPr>
        <w:t>approach to supervision</w:t>
      </w:r>
      <w:r w:rsidRPr="00A86AF9">
        <w:rPr>
          <w:noProof/>
        </w:rPr>
        <w:t xml:space="preserve"> across the Union, </w:t>
      </w:r>
      <w:r>
        <w:rPr>
          <w:noProof/>
        </w:rPr>
        <w:t>through the application of common safety methods (CSM)</w:t>
      </w:r>
      <w:r w:rsidRPr="00A86AF9">
        <w:rPr>
          <w:noProof/>
        </w:rPr>
        <w:t>.</w:t>
      </w:r>
      <w:r>
        <w:rPr>
          <w:noProof/>
        </w:rPr>
        <w:t xml:space="preserve"> </w:t>
      </w:r>
      <w:r w:rsidRPr="00937219">
        <w:rPr>
          <w:noProof/>
        </w:rPr>
        <w:t>The CSM are to be revised at regular intervals, in accordance with Article 6(5) of Directive (EU) 2016/798.</w:t>
      </w:r>
    </w:p>
    <w:p w:rsidR="006E547D" w:rsidRDefault="006E547D" w:rsidP="006E547D">
      <w:pPr>
        <w:pStyle w:val="ManualHeading1"/>
      </w:pPr>
      <w:r w:rsidRPr="00FB18DC">
        <w:t>2.</w:t>
      </w:r>
      <w:r w:rsidRPr="00FB18DC">
        <w:tab/>
      </w:r>
      <w:r>
        <w:t>CONSULTATIONS PRIOR TO THE ADOPTION OF THE ACT</w:t>
      </w:r>
    </w:p>
    <w:p w:rsidR="006E547D" w:rsidRDefault="006E547D" w:rsidP="006E547D">
      <w:pPr>
        <w:rPr>
          <w:noProof/>
        </w:rPr>
      </w:pPr>
      <w:r>
        <w:rPr>
          <w:noProof/>
        </w:rPr>
        <w:t xml:space="preserve">In accordance with Article 6(2) of </w:t>
      </w:r>
      <w:r w:rsidRPr="00AD1A9A">
        <w:rPr>
          <w:noProof/>
        </w:rPr>
        <w:t xml:space="preserve">Directive </w:t>
      </w:r>
      <w:r>
        <w:rPr>
          <w:noProof/>
        </w:rPr>
        <w:t xml:space="preserve">(EU) </w:t>
      </w:r>
      <w:r w:rsidRPr="00AD1A9A">
        <w:rPr>
          <w:noProof/>
        </w:rPr>
        <w:t>20</w:t>
      </w:r>
      <w:r>
        <w:rPr>
          <w:noProof/>
        </w:rPr>
        <w:t>16</w:t>
      </w:r>
      <w:r w:rsidRPr="00AD1A9A">
        <w:rPr>
          <w:noProof/>
        </w:rPr>
        <w:t>/</w:t>
      </w:r>
      <w:r>
        <w:rPr>
          <w:noProof/>
        </w:rPr>
        <w:t>798, on 1</w:t>
      </w:r>
      <w:r w:rsidRPr="00AD1A9A">
        <w:rPr>
          <w:noProof/>
        </w:rPr>
        <w:t xml:space="preserve"> </w:t>
      </w:r>
      <w:r>
        <w:rPr>
          <w:noProof/>
        </w:rPr>
        <w:t>September</w:t>
      </w:r>
      <w:r w:rsidRPr="00AD1A9A">
        <w:rPr>
          <w:noProof/>
        </w:rPr>
        <w:t xml:space="preserve"> 201</w:t>
      </w:r>
      <w:r>
        <w:rPr>
          <w:noProof/>
        </w:rPr>
        <w:t>6</w:t>
      </w:r>
      <w:r w:rsidRPr="00AD1A9A">
        <w:rPr>
          <w:noProof/>
        </w:rPr>
        <w:t xml:space="preserve"> the Commission issued a mandate to the European </w:t>
      </w:r>
      <w:r>
        <w:rPr>
          <w:noProof/>
        </w:rPr>
        <w:t>Union</w:t>
      </w:r>
      <w:r w:rsidRPr="00AD1A9A">
        <w:rPr>
          <w:noProof/>
        </w:rPr>
        <w:t xml:space="preserve"> Agency </w:t>
      </w:r>
      <w:r>
        <w:rPr>
          <w:noProof/>
        </w:rPr>
        <w:t xml:space="preserve">for Railways </w:t>
      </w:r>
      <w:r w:rsidRPr="00AD1A9A">
        <w:rPr>
          <w:noProof/>
        </w:rPr>
        <w:t>(the ‘Agency’) to revise the common safety method for assessing conformity with the requirements for obtaining railway safety certificates referred to in Commission Regulation (EU) No 1158/2010 of 9 December 2010, the common safety method for assessing conformity with the requirements for obtaining a railway safety authorisation referred to in Commission Regulation (EU) No 1169/2010 of 10 December 2010 and the common safety method for supervision by national safety authorities after issuing a safety certificate or safety authorisation referred to in Commission Regulati</w:t>
      </w:r>
      <w:r>
        <w:rPr>
          <w:noProof/>
        </w:rPr>
        <w:t>on (EU) No </w:t>
      </w:r>
      <w:r w:rsidRPr="00AD1A9A">
        <w:rPr>
          <w:noProof/>
        </w:rPr>
        <w:t xml:space="preserve">1077/2012 of 16 November 2012. </w:t>
      </w:r>
      <w:r>
        <w:rPr>
          <w:noProof/>
        </w:rPr>
        <w:t>On 9 March 2017</w:t>
      </w:r>
      <w:r w:rsidRPr="00AD1A9A">
        <w:rPr>
          <w:noProof/>
        </w:rPr>
        <w:t xml:space="preserve"> the Agency submitted its recommendation on the revision of the </w:t>
      </w:r>
      <w:r>
        <w:rPr>
          <w:noProof/>
        </w:rPr>
        <w:t>CSM</w:t>
      </w:r>
      <w:r w:rsidRPr="00AD1A9A">
        <w:rPr>
          <w:noProof/>
        </w:rPr>
        <w:t xml:space="preserve"> to the Commission, supported by an impact assessment report to address the mandate of </w:t>
      </w:r>
      <w:r>
        <w:rPr>
          <w:noProof/>
        </w:rPr>
        <w:t>the Commission.</w:t>
      </w:r>
    </w:p>
    <w:p w:rsidR="006E547D" w:rsidRDefault="006E547D" w:rsidP="006E547D">
      <w:r>
        <w:t xml:space="preserve">The </w:t>
      </w:r>
      <w:r w:rsidRPr="006C2E23">
        <w:t xml:space="preserve">Commission Expert Group on the Technical Pillar </w:t>
      </w:r>
      <w:r>
        <w:t>o</w:t>
      </w:r>
      <w:r w:rsidRPr="006C2E23">
        <w:t>f the 4th Railway Package</w:t>
      </w:r>
      <w:r>
        <w:t xml:space="preserve"> was consulted on the Recommendation of the Agency on 12 April 2017 and the draft Commission proposal was presented on 5 July 2017.</w:t>
      </w:r>
    </w:p>
    <w:p w:rsidR="006E547D" w:rsidRPr="0012110C" w:rsidRDefault="006E547D" w:rsidP="006E547D">
      <w:r>
        <w:t>The consultation for public feedback was held from 24 August until 21 September 2017</w:t>
      </w:r>
      <w:r w:rsidRPr="00E85C7C">
        <w:t xml:space="preserve"> </w:t>
      </w:r>
      <w:r>
        <w:t>(reference: Ares(2017)4156907). Some comments have been incorporated in the new version.</w:t>
      </w:r>
    </w:p>
    <w:p w:rsidR="006E547D" w:rsidRDefault="006E547D" w:rsidP="006E547D">
      <w:pPr>
        <w:pStyle w:val="ManualHeading1"/>
      </w:pPr>
      <w:r w:rsidRPr="00FB18DC">
        <w:t>3.</w:t>
      </w:r>
      <w:r w:rsidRPr="00FB18DC">
        <w:tab/>
      </w:r>
      <w:r>
        <w:t>LEGAL ELEMENTS OF THE DELEGATED ACT</w:t>
      </w:r>
    </w:p>
    <w:p w:rsidR="006E547D" w:rsidRPr="00E25D61" w:rsidRDefault="006E547D" w:rsidP="006E547D">
      <w:r w:rsidRPr="00B405B6">
        <w:rPr>
          <w:noProof/>
        </w:rPr>
        <w:t xml:space="preserve">This Regulation establishes CSM for the supervision by national safety authorities </w:t>
      </w:r>
      <w:r>
        <w:rPr>
          <w:noProof/>
        </w:rPr>
        <w:t xml:space="preserve">that </w:t>
      </w:r>
      <w:r w:rsidRPr="00B405B6">
        <w:rPr>
          <w:noProof/>
        </w:rPr>
        <w:t xml:space="preserve"> railway undertakings </w:t>
      </w:r>
      <w:r>
        <w:rPr>
          <w:noProof/>
        </w:rPr>
        <w:t xml:space="preserve">comply with their responsibilities of managing safety </w:t>
      </w:r>
      <w:r w:rsidRPr="00B405B6">
        <w:rPr>
          <w:noProof/>
        </w:rPr>
        <w:t>after they have been issued safety certificates and infrastructure managers after they have been issued safety authorisations, as referred to in Article 6(1)(c) and Article 17(1) of Directive (EU) 2016/798.</w:t>
      </w:r>
    </w:p>
    <w:p w:rsidR="006E547D" w:rsidRDefault="006E547D" w:rsidP="006E547D">
      <w:pPr>
        <w:sectPr w:rsidR="006E547D" w:rsidSect="00A07C5C">
          <w:footerReference w:type="default" r:id="rId10"/>
          <w:footerReference w:type="first" r:id="rId11"/>
          <w:pgSz w:w="11907" w:h="16839"/>
          <w:pgMar w:top="1134" w:right="1417" w:bottom="1134" w:left="1417" w:header="709" w:footer="709" w:gutter="0"/>
          <w:cols w:space="708"/>
          <w:docGrid w:linePitch="360"/>
        </w:sectPr>
      </w:pPr>
    </w:p>
    <w:p w:rsidR="006E547D" w:rsidRPr="00937BA9" w:rsidRDefault="003852CD" w:rsidP="003852CD">
      <w:pPr>
        <w:pStyle w:val="Typedudocument"/>
      </w:pPr>
      <w:r w:rsidRPr="003852CD">
        <w:lastRenderedPageBreak/>
        <w:t>COMMISSION DELEGATED REGULATION (EU) …/...</w:t>
      </w:r>
    </w:p>
    <w:p w:rsidR="006E547D" w:rsidRPr="00CE4FF7" w:rsidRDefault="003852CD" w:rsidP="003852CD">
      <w:pPr>
        <w:pStyle w:val="Datedadoption"/>
      </w:pPr>
      <w:r w:rsidRPr="003852CD">
        <w:t xml:space="preserve">of </w:t>
      </w:r>
      <w:r w:rsidRPr="003852CD">
        <w:rPr>
          <w:rStyle w:val="Marker2"/>
        </w:rPr>
        <w:t>XXX</w:t>
      </w:r>
    </w:p>
    <w:p w:rsidR="006E547D" w:rsidRPr="00CE4FF7" w:rsidRDefault="003852CD" w:rsidP="003852CD">
      <w:pPr>
        <w:pStyle w:val="Titreobjet"/>
      </w:pPr>
      <w:r w:rsidRPr="003852CD">
        <w:t>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w:t>
      </w:r>
    </w:p>
    <w:p w:rsidR="003852CD" w:rsidRDefault="003852CD" w:rsidP="003852CD">
      <w:pPr>
        <w:pStyle w:val="IntrtEEE"/>
      </w:pPr>
      <w:r w:rsidRPr="003852CD">
        <w:t>(Text with EEA relevance)</w:t>
      </w:r>
    </w:p>
    <w:p w:rsidR="006E547D" w:rsidRPr="00937BA9" w:rsidRDefault="006E547D" w:rsidP="009343DF">
      <w:pPr>
        <w:pStyle w:val="Institutionquiagit"/>
      </w:pPr>
      <w:r w:rsidRPr="00937BA9">
        <w:t>THE EUROPEAN COMMISSION,</w:t>
      </w:r>
    </w:p>
    <w:p w:rsidR="006E547D" w:rsidRPr="00F70E72" w:rsidRDefault="006E547D" w:rsidP="006E547D">
      <w:pPr>
        <w:rPr>
          <w:noProof/>
        </w:rPr>
      </w:pPr>
      <w:r w:rsidRPr="00F70E72">
        <w:rPr>
          <w:noProof/>
        </w:rPr>
        <w:t>Having regard to the Treaty on the Functioning of the European Union,</w:t>
      </w:r>
    </w:p>
    <w:p w:rsidR="006E547D" w:rsidRDefault="006E547D" w:rsidP="006E547D">
      <w:pPr>
        <w:rPr>
          <w:noProof/>
        </w:rPr>
      </w:pPr>
      <w:r w:rsidRPr="00F70E72">
        <w:rPr>
          <w:noProof/>
        </w:rPr>
        <w:t xml:space="preserve">Having regard to Directive </w:t>
      </w:r>
      <w:r>
        <w:rPr>
          <w:noProof/>
        </w:rPr>
        <w:t>(EU)</w:t>
      </w:r>
      <w:r w:rsidRPr="00623C18">
        <w:rPr>
          <w:noProof/>
        </w:rPr>
        <w:t xml:space="preserve"> </w:t>
      </w:r>
      <w:r>
        <w:rPr>
          <w:noProof/>
        </w:rPr>
        <w:t>2016</w:t>
      </w:r>
      <w:r w:rsidRPr="00623C18">
        <w:rPr>
          <w:noProof/>
        </w:rPr>
        <w:t>/</w:t>
      </w:r>
      <w:r>
        <w:rPr>
          <w:noProof/>
        </w:rPr>
        <w:t>798</w:t>
      </w:r>
      <w:r w:rsidRPr="00F70E72">
        <w:rPr>
          <w:noProof/>
        </w:rPr>
        <w:t xml:space="preserve"> of the European Parliament and of the Council of </w:t>
      </w:r>
      <w:r>
        <w:rPr>
          <w:noProof/>
        </w:rPr>
        <w:t>11 May 2016</w:t>
      </w:r>
      <w:r w:rsidRPr="00F70E72">
        <w:rPr>
          <w:noProof/>
        </w:rPr>
        <w:t xml:space="preserve"> on </w:t>
      </w:r>
      <w:r>
        <w:rPr>
          <w:noProof/>
        </w:rPr>
        <w:t>railway safety</w:t>
      </w:r>
      <w:r>
        <w:rPr>
          <w:rStyle w:val="FootnoteReference"/>
          <w:noProof/>
        </w:rPr>
        <w:footnoteReference w:id="1"/>
      </w:r>
      <w:r>
        <w:rPr>
          <w:noProof/>
        </w:rPr>
        <w:t>,</w:t>
      </w:r>
      <w:r w:rsidRPr="00F70E72">
        <w:rPr>
          <w:noProof/>
        </w:rPr>
        <w:t xml:space="preserve"> and in particular Article 6</w:t>
      </w:r>
      <w:r>
        <w:rPr>
          <w:noProof/>
        </w:rPr>
        <w:t xml:space="preserve">(6) </w:t>
      </w:r>
      <w:r w:rsidRPr="00F70E72">
        <w:rPr>
          <w:noProof/>
        </w:rPr>
        <w:t>thereof,</w:t>
      </w:r>
    </w:p>
    <w:p w:rsidR="006E547D" w:rsidRPr="00F70E72" w:rsidRDefault="006E547D" w:rsidP="006E547D">
      <w:pPr>
        <w:rPr>
          <w:noProof/>
        </w:rPr>
      </w:pPr>
      <w:r>
        <w:rPr>
          <w:noProof/>
        </w:rPr>
        <w:t>Having regard to Recommendation ERA-REC-115-REC from the European Union Agency for Railways delivered to the Commission on 9 March 2017, on the revision of the common safety methods on conformity assessment and the common safety method on supervision,</w:t>
      </w:r>
    </w:p>
    <w:p w:rsidR="006E547D" w:rsidRPr="00F70E72" w:rsidRDefault="006E547D" w:rsidP="006E547D">
      <w:pPr>
        <w:rPr>
          <w:noProof/>
        </w:rPr>
      </w:pPr>
      <w:r w:rsidRPr="00F70E72">
        <w:rPr>
          <w:noProof/>
        </w:rPr>
        <w:t>Whereas:</w:t>
      </w:r>
    </w:p>
    <w:p w:rsidR="006E547D" w:rsidRDefault="006E547D" w:rsidP="00172361">
      <w:pPr>
        <w:pStyle w:val="Considrant"/>
        <w:numPr>
          <w:ilvl w:val="0"/>
          <w:numId w:val="2"/>
        </w:numPr>
        <w:rPr>
          <w:noProof/>
        </w:rPr>
      </w:pPr>
      <w:r w:rsidRPr="000F5BE7">
        <w:rPr>
          <w:noProof/>
        </w:rPr>
        <w:t xml:space="preserve">The </w:t>
      </w:r>
      <w:r>
        <w:rPr>
          <w:noProof/>
        </w:rPr>
        <w:t>common safety methods ('</w:t>
      </w:r>
      <w:r w:rsidRPr="000F5BE7">
        <w:rPr>
          <w:noProof/>
        </w:rPr>
        <w:t>CSMs</w:t>
      </w:r>
      <w:r>
        <w:rPr>
          <w:noProof/>
        </w:rPr>
        <w:t>')</w:t>
      </w:r>
      <w:r w:rsidRPr="000F5BE7">
        <w:rPr>
          <w:noProof/>
        </w:rPr>
        <w:t xml:space="preserve"> </w:t>
      </w:r>
      <w:r>
        <w:rPr>
          <w:noProof/>
        </w:rPr>
        <w:t>describe how the safety levels and the achievement of safety targets and compliance with other safety requirements are assessed</w:t>
      </w:r>
      <w:r w:rsidRPr="000F5BE7">
        <w:rPr>
          <w:noProof/>
        </w:rPr>
        <w:t>.</w:t>
      </w:r>
    </w:p>
    <w:p w:rsidR="006E547D" w:rsidRDefault="006E547D" w:rsidP="006E547D">
      <w:pPr>
        <w:pStyle w:val="Considrant"/>
        <w:rPr>
          <w:noProof/>
        </w:rPr>
      </w:pPr>
      <w:r>
        <w:rPr>
          <w:noProof/>
        </w:rPr>
        <w:t>I</w:t>
      </w:r>
      <w:r w:rsidRPr="000F5BE7">
        <w:rPr>
          <w:noProof/>
        </w:rPr>
        <w:t>n accordance with Article 6</w:t>
      </w:r>
      <w:r>
        <w:rPr>
          <w:noProof/>
        </w:rPr>
        <w:t>(5)</w:t>
      </w:r>
      <w:r w:rsidRPr="000F5BE7">
        <w:rPr>
          <w:noProof/>
        </w:rPr>
        <w:t xml:space="preserve"> of </w:t>
      </w:r>
      <w:r w:rsidRPr="00F70E72">
        <w:rPr>
          <w:noProof/>
        </w:rPr>
        <w:t xml:space="preserve">Directive </w:t>
      </w:r>
      <w:r>
        <w:rPr>
          <w:noProof/>
        </w:rPr>
        <w:t>(EU)</w:t>
      </w:r>
      <w:r w:rsidRPr="00623C18">
        <w:rPr>
          <w:noProof/>
        </w:rPr>
        <w:t xml:space="preserve"> </w:t>
      </w:r>
      <w:r>
        <w:rPr>
          <w:noProof/>
        </w:rPr>
        <w:t>2016</w:t>
      </w:r>
      <w:r w:rsidRPr="00623C18">
        <w:rPr>
          <w:noProof/>
        </w:rPr>
        <w:t>/</w:t>
      </w:r>
      <w:r>
        <w:rPr>
          <w:noProof/>
        </w:rPr>
        <w:t>798, the</w:t>
      </w:r>
      <w:r w:rsidRPr="000F5BE7">
        <w:rPr>
          <w:noProof/>
        </w:rPr>
        <w:t xml:space="preserve"> CSMs are to be revised at regular intervals, taking into account the experience gained from their application and the global development of railway safety and with the objective of generally maintaining and, where reasonably practicable, continuously improving safety.</w:t>
      </w:r>
    </w:p>
    <w:p w:rsidR="006E547D" w:rsidRDefault="006E547D" w:rsidP="006E547D">
      <w:pPr>
        <w:pStyle w:val="Considrant"/>
        <w:rPr>
          <w:noProof/>
        </w:rPr>
      </w:pPr>
      <w:r>
        <w:rPr>
          <w:noProof/>
        </w:rPr>
        <w:t>By its Implementing Decision of 1 September 2016</w:t>
      </w:r>
      <w:r>
        <w:rPr>
          <w:rStyle w:val="FootnoteReference"/>
          <w:noProof/>
        </w:rPr>
        <w:footnoteReference w:id="2"/>
      </w:r>
      <w:r>
        <w:rPr>
          <w:noProof/>
        </w:rPr>
        <w:t xml:space="preserve">, the Commission gave a mandate to </w:t>
      </w:r>
      <w:r w:rsidRPr="00AD1A9A">
        <w:rPr>
          <w:noProof/>
        </w:rPr>
        <w:t xml:space="preserve">the European </w:t>
      </w:r>
      <w:r>
        <w:rPr>
          <w:noProof/>
        </w:rPr>
        <w:t>Union</w:t>
      </w:r>
      <w:r w:rsidRPr="00AD1A9A">
        <w:rPr>
          <w:noProof/>
        </w:rPr>
        <w:t xml:space="preserve"> Agency </w:t>
      </w:r>
      <w:r>
        <w:rPr>
          <w:noProof/>
        </w:rPr>
        <w:t xml:space="preserve">for Railways </w:t>
      </w:r>
      <w:r w:rsidRPr="00AD1A9A">
        <w:rPr>
          <w:noProof/>
        </w:rPr>
        <w:t>(</w:t>
      </w:r>
      <w:r>
        <w:rPr>
          <w:noProof/>
        </w:rPr>
        <w:t>'</w:t>
      </w:r>
      <w:r w:rsidRPr="00AD1A9A">
        <w:rPr>
          <w:noProof/>
        </w:rPr>
        <w:t xml:space="preserve">the Agency’) in accordance with </w:t>
      </w:r>
      <w:r>
        <w:rPr>
          <w:noProof/>
        </w:rPr>
        <w:t xml:space="preserve">Article 6(2) of </w:t>
      </w:r>
      <w:r w:rsidRPr="00AD1A9A">
        <w:rPr>
          <w:noProof/>
        </w:rPr>
        <w:t xml:space="preserve">Directive </w:t>
      </w:r>
      <w:r>
        <w:rPr>
          <w:noProof/>
        </w:rPr>
        <w:t xml:space="preserve">(EU) </w:t>
      </w:r>
      <w:r w:rsidRPr="00AD1A9A">
        <w:rPr>
          <w:noProof/>
        </w:rPr>
        <w:t>20</w:t>
      </w:r>
      <w:r>
        <w:rPr>
          <w:noProof/>
        </w:rPr>
        <w:t>16</w:t>
      </w:r>
      <w:r w:rsidRPr="00AD1A9A">
        <w:rPr>
          <w:noProof/>
        </w:rPr>
        <w:t>/</w:t>
      </w:r>
      <w:r>
        <w:rPr>
          <w:noProof/>
        </w:rPr>
        <w:t>798</w:t>
      </w:r>
      <w:r w:rsidRPr="00AD1A9A">
        <w:rPr>
          <w:noProof/>
        </w:rPr>
        <w:t xml:space="preserve"> to revise </w:t>
      </w:r>
      <w:r w:rsidR="00A07C5C">
        <w:rPr>
          <w:noProof/>
        </w:rPr>
        <w:t>Commission Regulations (EU) No </w:t>
      </w:r>
      <w:r w:rsidRPr="00AD1A9A">
        <w:rPr>
          <w:noProof/>
        </w:rPr>
        <w:t>1158/2010</w:t>
      </w:r>
      <w:r>
        <w:rPr>
          <w:rStyle w:val="FootnoteReference"/>
          <w:noProof/>
        </w:rPr>
        <w:footnoteReference w:id="3"/>
      </w:r>
      <w:r w:rsidRPr="00AD1A9A">
        <w:rPr>
          <w:noProof/>
        </w:rPr>
        <w:t>, (EU) No 1169/2010</w:t>
      </w:r>
      <w:r>
        <w:rPr>
          <w:rStyle w:val="FootnoteReference"/>
          <w:noProof/>
        </w:rPr>
        <w:footnoteReference w:id="4"/>
      </w:r>
      <w:r w:rsidRPr="00AD1A9A">
        <w:rPr>
          <w:noProof/>
        </w:rPr>
        <w:t xml:space="preserve"> and </w:t>
      </w:r>
      <w:r>
        <w:rPr>
          <w:noProof/>
        </w:rPr>
        <w:t xml:space="preserve">(EU) No </w:t>
      </w:r>
      <w:r w:rsidRPr="00AD1A9A">
        <w:rPr>
          <w:noProof/>
        </w:rPr>
        <w:t>1077/2012</w:t>
      </w:r>
      <w:r>
        <w:rPr>
          <w:rStyle w:val="FootnoteReference"/>
          <w:noProof/>
        </w:rPr>
        <w:footnoteReference w:id="5"/>
      </w:r>
      <w:r w:rsidRPr="00AD1A9A">
        <w:rPr>
          <w:noProof/>
        </w:rPr>
        <w:t>.</w:t>
      </w:r>
      <w:r>
        <w:rPr>
          <w:noProof/>
        </w:rPr>
        <w:t xml:space="preserve"> On 9 March 2017,</w:t>
      </w:r>
      <w:r w:rsidRPr="00AD1A9A">
        <w:rPr>
          <w:noProof/>
        </w:rPr>
        <w:t xml:space="preserve"> </w:t>
      </w:r>
      <w:r>
        <w:rPr>
          <w:noProof/>
        </w:rPr>
        <w:t>t</w:t>
      </w:r>
      <w:r w:rsidRPr="00AD1A9A">
        <w:rPr>
          <w:noProof/>
        </w:rPr>
        <w:t xml:space="preserve">he Agency </w:t>
      </w:r>
      <w:r>
        <w:rPr>
          <w:noProof/>
        </w:rPr>
        <w:t>issued</w:t>
      </w:r>
      <w:r w:rsidRPr="00AD1A9A">
        <w:rPr>
          <w:noProof/>
        </w:rPr>
        <w:t xml:space="preserve"> its recommendation</w:t>
      </w:r>
      <w:r>
        <w:rPr>
          <w:noProof/>
        </w:rPr>
        <w:t>, enclosing a report on the results of the consultation of national safety authorities, social partners and users and a report assessing the impact of</w:t>
      </w:r>
      <w:r w:rsidRPr="00AD1A9A">
        <w:rPr>
          <w:noProof/>
        </w:rPr>
        <w:t xml:space="preserve"> the </w:t>
      </w:r>
      <w:r>
        <w:rPr>
          <w:noProof/>
        </w:rPr>
        <w:t>amended</w:t>
      </w:r>
      <w:r w:rsidRPr="00AD1A9A">
        <w:rPr>
          <w:noProof/>
        </w:rPr>
        <w:t xml:space="preserve"> </w:t>
      </w:r>
      <w:r>
        <w:rPr>
          <w:noProof/>
        </w:rPr>
        <w:t xml:space="preserve">CSMs to be </w:t>
      </w:r>
      <w:r w:rsidRPr="00C32275">
        <w:rPr>
          <w:noProof/>
        </w:rPr>
        <w:t>adopted, to address the mandate of the Commission.</w:t>
      </w:r>
      <w:r w:rsidRPr="00B83545">
        <w:rPr>
          <w:noProof/>
        </w:rPr>
        <w:t xml:space="preserve"> </w:t>
      </w:r>
      <w:r>
        <w:rPr>
          <w:noProof/>
        </w:rPr>
        <w:t>The Commission examined the recommendation issued by the Agency to verify that the mandate was fulfilled as referred to in Article 6(4) of Directive (EU) 2016/798.</w:t>
      </w:r>
      <w:r w:rsidRPr="00AD1A9A">
        <w:rPr>
          <w:noProof/>
        </w:rPr>
        <w:t xml:space="preserve"> </w:t>
      </w:r>
    </w:p>
    <w:p w:rsidR="006E547D" w:rsidRDefault="006E547D" w:rsidP="006E547D">
      <w:pPr>
        <w:pStyle w:val="Considrant"/>
        <w:rPr>
          <w:noProof/>
        </w:rPr>
      </w:pPr>
      <w:r w:rsidRPr="00F70E72">
        <w:rPr>
          <w:noProof/>
        </w:rPr>
        <w:t xml:space="preserve">After a </w:t>
      </w:r>
      <w:r>
        <w:rPr>
          <w:noProof/>
        </w:rPr>
        <w:t xml:space="preserve">single </w:t>
      </w:r>
      <w:r w:rsidRPr="00F70E72">
        <w:rPr>
          <w:noProof/>
        </w:rPr>
        <w:t>safety certificate or a safety authorisation</w:t>
      </w:r>
      <w:r>
        <w:rPr>
          <w:noProof/>
        </w:rPr>
        <w:t xml:space="preserve"> is issued</w:t>
      </w:r>
      <w:r w:rsidRPr="00F70E72">
        <w:rPr>
          <w:noProof/>
        </w:rPr>
        <w:t xml:space="preserve">, the </w:t>
      </w:r>
      <w:r w:rsidRPr="00267A82">
        <w:rPr>
          <w:noProof/>
        </w:rPr>
        <w:t xml:space="preserve">national safety authority should conduct supervision activities to check whether </w:t>
      </w:r>
      <w:r w:rsidRPr="006577A4">
        <w:rPr>
          <w:noProof/>
        </w:rPr>
        <w:t>the safety management system arrangements</w:t>
      </w:r>
      <w:r w:rsidRPr="00267A82">
        <w:rPr>
          <w:noProof/>
        </w:rPr>
        <w:t xml:space="preserve"> </w:t>
      </w:r>
      <w:r>
        <w:rPr>
          <w:noProof/>
        </w:rPr>
        <w:t>are effectively used</w:t>
      </w:r>
      <w:r w:rsidRPr="006577A4">
        <w:rPr>
          <w:noProof/>
        </w:rPr>
        <w:t xml:space="preserve"> during operation</w:t>
      </w:r>
      <w:r w:rsidRPr="00267A82">
        <w:rPr>
          <w:noProof/>
        </w:rPr>
        <w:t xml:space="preserve"> </w:t>
      </w:r>
      <w:r w:rsidRPr="006577A4">
        <w:rPr>
          <w:noProof/>
        </w:rPr>
        <w:t>and</w:t>
      </w:r>
      <w:r w:rsidRPr="00F70E72">
        <w:rPr>
          <w:noProof/>
        </w:rPr>
        <w:t xml:space="preserve"> that all the necessary requirements are complied with on a continuous basis.</w:t>
      </w:r>
    </w:p>
    <w:p w:rsidR="006E547D" w:rsidRPr="00F70E72" w:rsidRDefault="006E547D" w:rsidP="006E547D">
      <w:pPr>
        <w:pStyle w:val="Considrant"/>
        <w:rPr>
          <w:noProof/>
        </w:rPr>
      </w:pPr>
      <w:r>
        <w:rPr>
          <w:noProof/>
        </w:rPr>
        <w:t xml:space="preserve">In accordance with Article 17(1) and (8) of </w:t>
      </w:r>
      <w:r w:rsidRPr="00F70E72">
        <w:rPr>
          <w:noProof/>
        </w:rPr>
        <w:t xml:space="preserve">Directive </w:t>
      </w:r>
      <w:r>
        <w:rPr>
          <w:noProof/>
        </w:rPr>
        <w:t>(EU)</w:t>
      </w:r>
      <w:r w:rsidRPr="00623C18">
        <w:rPr>
          <w:noProof/>
        </w:rPr>
        <w:t xml:space="preserve"> </w:t>
      </w:r>
      <w:r>
        <w:rPr>
          <w:noProof/>
        </w:rPr>
        <w:t>2016</w:t>
      </w:r>
      <w:r w:rsidRPr="00623C18">
        <w:rPr>
          <w:noProof/>
        </w:rPr>
        <w:t>/</w:t>
      </w:r>
      <w:r>
        <w:rPr>
          <w:noProof/>
        </w:rPr>
        <w:t xml:space="preserve">798, in cases where railway undertakings and infrastructure managers are also entities in charge of maintenance that are not certified in accordance with Article 14(4) of Directive (EU) 2016/798, supervision activities carried out by national safety authorities with the aim of checking the application of the relevant CSMs referred to in Article 6 of </w:t>
      </w:r>
      <w:r w:rsidRPr="00F70E72">
        <w:rPr>
          <w:noProof/>
        </w:rPr>
        <w:t xml:space="preserve">Directive </w:t>
      </w:r>
      <w:r>
        <w:rPr>
          <w:noProof/>
        </w:rPr>
        <w:t>(EU)</w:t>
      </w:r>
      <w:r w:rsidRPr="00623C18">
        <w:rPr>
          <w:noProof/>
        </w:rPr>
        <w:t xml:space="preserve"> </w:t>
      </w:r>
      <w:r>
        <w:rPr>
          <w:noProof/>
        </w:rPr>
        <w:t>2016</w:t>
      </w:r>
      <w:r w:rsidRPr="00623C18">
        <w:rPr>
          <w:noProof/>
        </w:rPr>
        <w:t>/</w:t>
      </w:r>
      <w:r>
        <w:rPr>
          <w:noProof/>
        </w:rPr>
        <w:t>798</w:t>
      </w:r>
      <w:r w:rsidRPr="008D13BF">
        <w:rPr>
          <w:noProof/>
        </w:rPr>
        <w:t xml:space="preserve"> </w:t>
      </w:r>
      <w:r>
        <w:rPr>
          <w:noProof/>
        </w:rPr>
        <w:t xml:space="preserve">by entities in charge of the maintenance are </w:t>
      </w:r>
      <w:r w:rsidRPr="00147D70">
        <w:rPr>
          <w:noProof/>
        </w:rPr>
        <w:t xml:space="preserve">justified means for supervising the </w:t>
      </w:r>
      <w:r>
        <w:rPr>
          <w:noProof/>
        </w:rPr>
        <w:t>effectiveness of the safety management systems of these railway undertakings and infrastructure managers.</w:t>
      </w:r>
    </w:p>
    <w:p w:rsidR="006E547D" w:rsidRDefault="006E547D" w:rsidP="006E547D">
      <w:pPr>
        <w:pStyle w:val="Considrant"/>
        <w:rPr>
          <w:noProof/>
        </w:rPr>
      </w:pPr>
      <w:r>
        <w:rPr>
          <w:noProof/>
        </w:rPr>
        <w:t xml:space="preserve">A supervision </w:t>
      </w:r>
      <w:r w:rsidRPr="00F70E72">
        <w:rPr>
          <w:noProof/>
        </w:rPr>
        <w:t xml:space="preserve">process </w:t>
      </w:r>
      <w:r>
        <w:rPr>
          <w:noProof/>
        </w:rPr>
        <w:t>should be set out for</w:t>
      </w:r>
      <w:r w:rsidRPr="00F70E72">
        <w:rPr>
          <w:noProof/>
        </w:rPr>
        <w:t xml:space="preserve"> the </w:t>
      </w:r>
      <w:r w:rsidRPr="007D0604">
        <w:rPr>
          <w:noProof/>
        </w:rPr>
        <w:t>national safety authorities</w:t>
      </w:r>
      <w:r>
        <w:rPr>
          <w:noProof/>
        </w:rPr>
        <w:t xml:space="preserve"> with the aim of</w:t>
      </w:r>
      <w:r w:rsidRPr="00F70E72">
        <w:rPr>
          <w:noProof/>
        </w:rPr>
        <w:t xml:space="preserve"> improving mutual trust in </w:t>
      </w:r>
      <w:r w:rsidRPr="0005214D">
        <w:rPr>
          <w:noProof/>
        </w:rPr>
        <w:t>their approaches to, and decision-making during</w:t>
      </w:r>
      <w:r>
        <w:rPr>
          <w:noProof/>
        </w:rPr>
        <w:t>,</w:t>
      </w:r>
      <w:r w:rsidRPr="00F70E72">
        <w:rPr>
          <w:noProof/>
        </w:rPr>
        <w:t xml:space="preserve"> supervision activities.</w:t>
      </w:r>
    </w:p>
    <w:p w:rsidR="006E547D" w:rsidRDefault="006E547D" w:rsidP="006E547D">
      <w:pPr>
        <w:pStyle w:val="Considrant"/>
        <w:rPr>
          <w:noProof/>
        </w:rPr>
      </w:pPr>
      <w:r>
        <w:rPr>
          <w:noProof/>
        </w:rPr>
        <w:t>N</w:t>
      </w:r>
      <w:r w:rsidRPr="00C506CB">
        <w:rPr>
          <w:noProof/>
        </w:rPr>
        <w:t>ational safety authorities</w:t>
      </w:r>
      <w:r>
        <w:rPr>
          <w:noProof/>
        </w:rPr>
        <w:t xml:space="preserve"> should be accountable for their decisions and therefore, should have internal arrangements or procedures against which they can be held to account.</w:t>
      </w:r>
    </w:p>
    <w:p w:rsidR="006E547D" w:rsidRDefault="006E547D" w:rsidP="006E547D">
      <w:pPr>
        <w:pStyle w:val="Considrant"/>
        <w:rPr>
          <w:noProof/>
        </w:rPr>
      </w:pPr>
      <w:r>
        <w:rPr>
          <w:noProof/>
        </w:rPr>
        <w:t xml:space="preserve">Supervision should be targeted primarily at those activities which a </w:t>
      </w:r>
      <w:r w:rsidRPr="007D0604">
        <w:rPr>
          <w:noProof/>
        </w:rPr>
        <w:t>national safety authorit</w:t>
      </w:r>
      <w:r>
        <w:rPr>
          <w:noProof/>
        </w:rPr>
        <w:t>y</w:t>
      </w:r>
      <w:r w:rsidRPr="007D0604" w:rsidDel="007D0604">
        <w:rPr>
          <w:noProof/>
        </w:rPr>
        <w:t xml:space="preserve"> </w:t>
      </w:r>
      <w:r>
        <w:rPr>
          <w:noProof/>
        </w:rPr>
        <w:t xml:space="preserve">believes give rise to the most serious risks or where the risks are least well-controlled. For that purpose, the </w:t>
      </w:r>
      <w:r w:rsidRPr="007D0604">
        <w:rPr>
          <w:noProof/>
        </w:rPr>
        <w:t>national safety authorit</w:t>
      </w:r>
      <w:r>
        <w:rPr>
          <w:noProof/>
        </w:rPr>
        <w:t>y should develop and implement a risk-based supervision strategy and plan(s) outlining how it targets its activities and sets its priorities for supervision.</w:t>
      </w:r>
    </w:p>
    <w:p w:rsidR="006E547D" w:rsidRDefault="006E547D" w:rsidP="006E547D">
      <w:pPr>
        <w:pStyle w:val="Considrant"/>
        <w:rPr>
          <w:noProof/>
        </w:rPr>
      </w:pPr>
      <w:r>
        <w:rPr>
          <w:noProof/>
        </w:rPr>
        <w:t xml:space="preserve">Enforcement actions taken by </w:t>
      </w:r>
      <w:r w:rsidRPr="00C506CB">
        <w:rPr>
          <w:noProof/>
        </w:rPr>
        <w:t>national safety authorities</w:t>
      </w:r>
      <w:r>
        <w:rPr>
          <w:noProof/>
        </w:rPr>
        <w:t xml:space="preserve"> to ensure that railway undertakings and infrastructure managers achieve legal compliance as referred to in Article 17(1) of Directive (EU) 2016/798 should be proportionate to any risks to safety or to the potential seriousness of any non-compliance with their legal obligations.</w:t>
      </w:r>
    </w:p>
    <w:p w:rsidR="006E547D" w:rsidRPr="00F70E72" w:rsidRDefault="006E547D" w:rsidP="006E547D">
      <w:pPr>
        <w:pStyle w:val="Considrant"/>
        <w:rPr>
          <w:noProof/>
        </w:rPr>
      </w:pPr>
      <w:r w:rsidRPr="00F70E72">
        <w:rPr>
          <w:noProof/>
        </w:rPr>
        <w:t xml:space="preserve">To be able to perform its tasks under </w:t>
      </w:r>
      <w:r>
        <w:rPr>
          <w:noProof/>
        </w:rPr>
        <w:t xml:space="preserve">point (i) of </w:t>
      </w:r>
      <w:r w:rsidRPr="00F70E72">
        <w:rPr>
          <w:noProof/>
        </w:rPr>
        <w:t xml:space="preserve">Article 16(2) of Directive </w:t>
      </w:r>
      <w:r>
        <w:rPr>
          <w:noProof/>
        </w:rPr>
        <w:t>(EU)</w:t>
      </w:r>
      <w:r w:rsidRPr="00623C18">
        <w:rPr>
          <w:noProof/>
        </w:rPr>
        <w:t xml:space="preserve"> </w:t>
      </w:r>
      <w:r>
        <w:rPr>
          <w:noProof/>
        </w:rPr>
        <w:t>2016</w:t>
      </w:r>
      <w:r w:rsidRPr="00623C18">
        <w:rPr>
          <w:noProof/>
        </w:rPr>
        <w:t>/</w:t>
      </w:r>
      <w:r>
        <w:rPr>
          <w:noProof/>
        </w:rPr>
        <w:t>798</w:t>
      </w:r>
      <w:r w:rsidRPr="00F70E72">
        <w:rPr>
          <w:noProof/>
        </w:rPr>
        <w:t xml:space="preserve">, the </w:t>
      </w:r>
      <w:r>
        <w:rPr>
          <w:noProof/>
        </w:rPr>
        <w:t>national safety authority</w:t>
      </w:r>
      <w:r w:rsidRPr="00F70E72">
        <w:rPr>
          <w:noProof/>
        </w:rPr>
        <w:t xml:space="preserve"> </w:t>
      </w:r>
      <w:r>
        <w:rPr>
          <w:noProof/>
        </w:rPr>
        <w:t>should</w:t>
      </w:r>
      <w:r w:rsidRPr="00F70E72">
        <w:rPr>
          <w:noProof/>
        </w:rPr>
        <w:t xml:space="preserve"> </w:t>
      </w:r>
      <w:r>
        <w:rPr>
          <w:noProof/>
        </w:rPr>
        <w:t>form a judgement</w:t>
      </w:r>
      <w:r w:rsidRPr="00F70E72">
        <w:rPr>
          <w:noProof/>
        </w:rPr>
        <w:t xml:space="preserve">, based on </w:t>
      </w:r>
      <w:r>
        <w:rPr>
          <w:noProof/>
        </w:rPr>
        <w:t xml:space="preserve">the outcomes of </w:t>
      </w:r>
      <w:r w:rsidRPr="00F70E72">
        <w:rPr>
          <w:noProof/>
        </w:rPr>
        <w:t xml:space="preserve">its supervision activities, </w:t>
      </w:r>
      <w:r>
        <w:rPr>
          <w:noProof/>
        </w:rPr>
        <w:t xml:space="preserve">on </w:t>
      </w:r>
      <w:r w:rsidRPr="00F70E72">
        <w:rPr>
          <w:noProof/>
        </w:rPr>
        <w:t>the effectiveness of the safety regulatory framework.</w:t>
      </w:r>
    </w:p>
    <w:p w:rsidR="006E547D" w:rsidRPr="001A6AC9" w:rsidRDefault="006E547D" w:rsidP="006E547D">
      <w:pPr>
        <w:pStyle w:val="Considrant"/>
        <w:rPr>
          <w:noProof/>
        </w:rPr>
      </w:pPr>
      <w:r>
        <w:rPr>
          <w:noProof/>
        </w:rPr>
        <w:t xml:space="preserve">The audit and inspection </w:t>
      </w:r>
      <w:r w:rsidRPr="00F70E72">
        <w:rPr>
          <w:noProof/>
        </w:rPr>
        <w:t>techniques</w:t>
      </w:r>
      <w:r>
        <w:rPr>
          <w:noProof/>
        </w:rPr>
        <w:t xml:space="preserve"> for supervision should commonly</w:t>
      </w:r>
      <w:r w:rsidRPr="00F70E72">
        <w:rPr>
          <w:noProof/>
        </w:rPr>
        <w:t xml:space="preserve"> include interviews with people at various levels in an organisation, reviewing </w:t>
      </w:r>
      <w:r>
        <w:rPr>
          <w:noProof/>
        </w:rPr>
        <w:t>documents and records</w:t>
      </w:r>
      <w:r w:rsidRPr="00F70E72">
        <w:rPr>
          <w:noProof/>
        </w:rPr>
        <w:t xml:space="preserve"> related to the safety management system and examining the safety outcomes of the management system</w:t>
      </w:r>
      <w:r>
        <w:rPr>
          <w:noProof/>
        </w:rPr>
        <w:t xml:space="preserve"> revealed by inspections or related activities.</w:t>
      </w:r>
    </w:p>
    <w:p w:rsidR="006E547D" w:rsidRDefault="006E547D" w:rsidP="006E547D">
      <w:pPr>
        <w:pStyle w:val="Considrant"/>
        <w:rPr>
          <w:noProof/>
        </w:rPr>
      </w:pPr>
      <w:r>
        <w:rPr>
          <w:noProof/>
        </w:rPr>
        <w:t xml:space="preserve">In accordance with Article 17(13) of </w:t>
      </w:r>
      <w:r w:rsidRPr="00F70E72">
        <w:rPr>
          <w:noProof/>
        </w:rPr>
        <w:t xml:space="preserve">Directive </w:t>
      </w:r>
      <w:r>
        <w:rPr>
          <w:noProof/>
        </w:rPr>
        <w:t>(EU)</w:t>
      </w:r>
      <w:r w:rsidRPr="00623C18">
        <w:rPr>
          <w:noProof/>
        </w:rPr>
        <w:t xml:space="preserve"> </w:t>
      </w:r>
      <w:r>
        <w:rPr>
          <w:noProof/>
        </w:rPr>
        <w:t>2016</w:t>
      </w:r>
      <w:r w:rsidRPr="00623C18">
        <w:rPr>
          <w:noProof/>
        </w:rPr>
        <w:t>/</w:t>
      </w:r>
      <w:r>
        <w:rPr>
          <w:noProof/>
        </w:rPr>
        <w:t>798, the Agency, acting as safety certification body, and the national safety authorities should coordinate when and where appropriate to ensure the full exchange of information between assessment and supervision activities, including any notices addressed to railway undertakings. Similarly, the relevant national safety authorities should coordinate in the case of cross-border infrastructures.</w:t>
      </w:r>
      <w:r w:rsidRPr="006B57BE">
        <w:rPr>
          <w:i/>
          <w:noProof/>
          <w:highlight w:val="yellow"/>
        </w:rPr>
        <w:t xml:space="preserve"> </w:t>
      </w:r>
    </w:p>
    <w:p w:rsidR="006E547D" w:rsidRDefault="006E547D" w:rsidP="006E547D">
      <w:pPr>
        <w:pStyle w:val="Considrant"/>
        <w:rPr>
          <w:noProof/>
        </w:rPr>
      </w:pPr>
      <w:r w:rsidRPr="00C3073E">
        <w:rPr>
          <w:noProof/>
        </w:rPr>
        <w:t xml:space="preserve">In order to </w:t>
      </w:r>
      <w:r w:rsidRPr="00EB6B87">
        <w:rPr>
          <w:noProof/>
        </w:rPr>
        <w:t xml:space="preserve">ensure that </w:t>
      </w:r>
      <w:r>
        <w:rPr>
          <w:noProof/>
        </w:rPr>
        <w:t>supervision is</w:t>
      </w:r>
      <w:r w:rsidRPr="00EB6B87">
        <w:rPr>
          <w:noProof/>
        </w:rPr>
        <w:t xml:space="preserve"> carried out effectively by </w:t>
      </w:r>
      <w:r>
        <w:rPr>
          <w:noProof/>
        </w:rPr>
        <w:t>national safety authorities</w:t>
      </w:r>
      <w:r w:rsidRPr="00EB6B87">
        <w:rPr>
          <w:noProof/>
        </w:rPr>
        <w:t xml:space="preserve"> and to reinforce mutual trust between them, those </w:t>
      </w:r>
      <w:r>
        <w:rPr>
          <w:noProof/>
        </w:rPr>
        <w:t>authorities</w:t>
      </w:r>
      <w:r w:rsidRPr="00EB6B87">
        <w:rPr>
          <w:noProof/>
        </w:rPr>
        <w:t xml:space="preserve"> should ensure that staff </w:t>
      </w:r>
      <w:r w:rsidRPr="005F49D8">
        <w:rPr>
          <w:noProof/>
        </w:rPr>
        <w:t xml:space="preserve">involved in </w:t>
      </w:r>
      <w:r>
        <w:rPr>
          <w:noProof/>
        </w:rPr>
        <w:t>supervision</w:t>
      </w:r>
      <w:r w:rsidRPr="005F49D8">
        <w:rPr>
          <w:noProof/>
        </w:rPr>
        <w:t xml:space="preserve"> have the</w:t>
      </w:r>
      <w:r>
        <w:rPr>
          <w:noProof/>
        </w:rPr>
        <w:t xml:space="preserve"> necessary competencies. To that end, those competencies should be identified.</w:t>
      </w:r>
    </w:p>
    <w:p w:rsidR="006E547D" w:rsidRDefault="006E547D" w:rsidP="006E547D">
      <w:pPr>
        <w:pStyle w:val="Considrant"/>
        <w:rPr>
          <w:noProof/>
        </w:rPr>
      </w:pPr>
      <w:r>
        <w:rPr>
          <w:noProof/>
        </w:rPr>
        <w:t>N</w:t>
      </w:r>
      <w:r w:rsidRPr="00C506CB">
        <w:rPr>
          <w:noProof/>
        </w:rPr>
        <w:t>ational safety authorities</w:t>
      </w:r>
      <w:r w:rsidRPr="00F70E72">
        <w:rPr>
          <w:noProof/>
        </w:rPr>
        <w:t xml:space="preserve"> involved in the supervision </w:t>
      </w:r>
      <w:r>
        <w:rPr>
          <w:noProof/>
        </w:rPr>
        <w:t>of an infrastructure manager</w:t>
      </w:r>
      <w:r w:rsidRPr="00F70E72">
        <w:rPr>
          <w:noProof/>
        </w:rPr>
        <w:t xml:space="preserve"> </w:t>
      </w:r>
      <w:r>
        <w:rPr>
          <w:noProof/>
        </w:rPr>
        <w:t xml:space="preserve">with cross-border infrastructure or </w:t>
      </w:r>
      <w:r w:rsidRPr="00F70E72">
        <w:rPr>
          <w:noProof/>
        </w:rPr>
        <w:t>of a railway undertaking operating in more than one Member State</w:t>
      </w:r>
      <w:r>
        <w:rPr>
          <w:noProof/>
        </w:rPr>
        <w:t xml:space="preserve"> </w:t>
      </w:r>
      <w:r w:rsidRPr="00F70E72">
        <w:rPr>
          <w:noProof/>
        </w:rPr>
        <w:t>sh</w:t>
      </w:r>
      <w:r>
        <w:rPr>
          <w:noProof/>
        </w:rPr>
        <w:t>ould</w:t>
      </w:r>
      <w:r w:rsidRPr="00F70E72">
        <w:rPr>
          <w:noProof/>
        </w:rPr>
        <w:t xml:space="preserve"> </w:t>
      </w:r>
      <w:r>
        <w:rPr>
          <w:noProof/>
        </w:rPr>
        <w:t>cooperate with each other to avoid any duplication of supervision</w:t>
      </w:r>
      <w:r w:rsidRPr="00F70E72">
        <w:rPr>
          <w:noProof/>
        </w:rPr>
        <w:t xml:space="preserve"> </w:t>
      </w:r>
      <w:r>
        <w:rPr>
          <w:noProof/>
        </w:rPr>
        <w:t xml:space="preserve">and </w:t>
      </w:r>
      <w:r w:rsidRPr="00F70E72">
        <w:rPr>
          <w:noProof/>
        </w:rPr>
        <w:t>coordinate their approach to supervision</w:t>
      </w:r>
      <w:r>
        <w:rPr>
          <w:noProof/>
        </w:rPr>
        <w:t xml:space="preserve"> </w:t>
      </w:r>
      <w:r w:rsidRPr="00F7218E">
        <w:rPr>
          <w:noProof/>
        </w:rPr>
        <w:t>to ensure that any</w:t>
      </w:r>
      <w:r>
        <w:rPr>
          <w:noProof/>
        </w:rPr>
        <w:t xml:space="preserve"> key information on the</w:t>
      </w:r>
      <w:r w:rsidRPr="00F7218E">
        <w:rPr>
          <w:noProof/>
        </w:rPr>
        <w:t xml:space="preserve"> infrastructure manager or railway undertaking</w:t>
      </w:r>
      <w:r>
        <w:rPr>
          <w:noProof/>
        </w:rPr>
        <w:t xml:space="preserve">, </w:t>
      </w:r>
      <w:r w:rsidRPr="00F7218E">
        <w:rPr>
          <w:noProof/>
        </w:rPr>
        <w:t>particularly on known ri</w:t>
      </w:r>
      <w:r>
        <w:rPr>
          <w:noProof/>
        </w:rPr>
        <w:t>sks and its safety performance,</w:t>
      </w:r>
      <w:r w:rsidRPr="00F7218E">
        <w:rPr>
          <w:noProof/>
        </w:rPr>
        <w:t xml:space="preserve"> is shared and used to target supervision activities on the areas of greatest risk for the whole operation</w:t>
      </w:r>
      <w:r>
        <w:rPr>
          <w:noProof/>
        </w:rPr>
        <w:t>.</w:t>
      </w:r>
    </w:p>
    <w:p w:rsidR="006E547D" w:rsidRDefault="006E547D" w:rsidP="006E547D">
      <w:pPr>
        <w:pStyle w:val="Considrant"/>
        <w:rPr>
          <w:noProof/>
        </w:rPr>
      </w:pPr>
      <w:r>
        <w:rPr>
          <w:noProof/>
        </w:rPr>
        <w:t>N</w:t>
      </w:r>
      <w:r w:rsidRPr="00C506CB">
        <w:rPr>
          <w:noProof/>
        </w:rPr>
        <w:t>ational safety authorities</w:t>
      </w:r>
      <w:r w:rsidRPr="00D05136">
        <w:rPr>
          <w:noProof/>
        </w:rPr>
        <w:t xml:space="preserve"> should cooperate</w:t>
      </w:r>
      <w:r>
        <w:rPr>
          <w:noProof/>
        </w:rPr>
        <w:t>, where necessary,</w:t>
      </w:r>
      <w:r w:rsidRPr="00D05136">
        <w:rPr>
          <w:noProof/>
        </w:rPr>
        <w:t xml:space="preserve"> with other competent authorities</w:t>
      </w:r>
      <w:r>
        <w:rPr>
          <w:noProof/>
        </w:rPr>
        <w:t xml:space="preserve"> or bodies</w:t>
      </w:r>
      <w:r w:rsidRPr="00D05136">
        <w:rPr>
          <w:noProof/>
        </w:rPr>
        <w:t xml:space="preserve"> that interact in the railway sec</w:t>
      </w:r>
      <w:r>
        <w:rPr>
          <w:noProof/>
        </w:rPr>
        <w:t>tor, such as the regulatory bodies</w:t>
      </w:r>
      <w:r w:rsidRPr="00D05136">
        <w:rPr>
          <w:noProof/>
        </w:rPr>
        <w:t xml:space="preserve"> and the licen</w:t>
      </w:r>
      <w:r>
        <w:rPr>
          <w:noProof/>
        </w:rPr>
        <w:t>sing authorities</w:t>
      </w:r>
      <w:r w:rsidRPr="00D05136">
        <w:rPr>
          <w:noProof/>
        </w:rPr>
        <w:t xml:space="preserve"> within the meaning of </w:t>
      </w:r>
      <w:r w:rsidRPr="00E43F84">
        <w:rPr>
          <w:noProof/>
        </w:rPr>
        <w:t>Directive</w:t>
      </w:r>
      <w:r>
        <w:rPr>
          <w:noProof/>
        </w:rPr>
        <w:t> </w:t>
      </w:r>
      <w:r w:rsidRPr="00E43F84">
        <w:rPr>
          <w:noProof/>
        </w:rPr>
        <w:t>2012/34/EU</w:t>
      </w:r>
      <w:r>
        <w:rPr>
          <w:noProof/>
        </w:rPr>
        <w:t xml:space="preserve"> of the European Parliament and of the Council</w:t>
      </w:r>
      <w:r>
        <w:rPr>
          <w:rStyle w:val="FootnoteReference"/>
          <w:noProof/>
        </w:rPr>
        <w:footnoteReference w:id="6"/>
      </w:r>
      <w:r>
        <w:rPr>
          <w:noProof/>
        </w:rPr>
        <w:t xml:space="preserve">, or </w:t>
      </w:r>
      <w:r w:rsidRPr="00D05136">
        <w:rPr>
          <w:noProof/>
        </w:rPr>
        <w:t xml:space="preserve">the </w:t>
      </w:r>
      <w:r>
        <w:rPr>
          <w:noProof/>
        </w:rPr>
        <w:t>competent authorities for monitoring compliance with applicable working, driving and rest-time rules for train drivers</w:t>
      </w:r>
      <w:r w:rsidRPr="00D05136">
        <w:rPr>
          <w:noProof/>
        </w:rPr>
        <w:t xml:space="preserve">, to </w:t>
      </w:r>
      <w:r>
        <w:rPr>
          <w:noProof/>
        </w:rPr>
        <w:t>deliver</w:t>
      </w:r>
      <w:r w:rsidRPr="00D05136">
        <w:rPr>
          <w:noProof/>
        </w:rPr>
        <w:t xml:space="preserve"> their respective mandates, </w:t>
      </w:r>
      <w:r>
        <w:rPr>
          <w:noProof/>
        </w:rPr>
        <w:t xml:space="preserve">share information, </w:t>
      </w:r>
      <w:r w:rsidRPr="00D05136">
        <w:rPr>
          <w:noProof/>
        </w:rPr>
        <w:t>resolve any conflicts in approach</w:t>
      </w:r>
      <w:r>
        <w:rPr>
          <w:noProof/>
        </w:rPr>
        <w:t>,</w:t>
      </w:r>
      <w:r w:rsidRPr="00D05136">
        <w:rPr>
          <w:noProof/>
        </w:rPr>
        <w:t xml:space="preserve"> prevent related adverse effects in </w:t>
      </w:r>
      <w:r>
        <w:rPr>
          <w:noProof/>
        </w:rPr>
        <w:t xml:space="preserve">the railway system </w:t>
      </w:r>
      <w:r w:rsidRPr="00DA0EB7">
        <w:rPr>
          <w:noProof/>
        </w:rPr>
        <w:t>and coordinate their response to any failure to comply with the safety regulatory framework.</w:t>
      </w:r>
    </w:p>
    <w:p w:rsidR="006E547D" w:rsidRDefault="006E547D" w:rsidP="006E547D">
      <w:pPr>
        <w:pStyle w:val="Considrant"/>
        <w:rPr>
          <w:noProof/>
        </w:rPr>
      </w:pPr>
      <w:r>
        <w:rPr>
          <w:noProof/>
        </w:rPr>
        <w:t>According to Article 31(3) of Directive (EU) 2016/798, the new safety certification regime will start from 16 June 2019. However, Member States have the possibility to notify the Agency and the Commission pursuant to Article 33(2) of Directive</w:t>
      </w:r>
      <w:r w:rsidRPr="00BE3171">
        <w:t xml:space="preserve"> </w:t>
      </w:r>
      <w:r w:rsidRPr="00BE3171">
        <w:rPr>
          <w:noProof/>
        </w:rPr>
        <w:t>(EU) 2016/798</w:t>
      </w:r>
      <w:r>
        <w:rPr>
          <w:noProof/>
        </w:rPr>
        <w:t xml:space="preserve"> that they have extended the transposition period and may in consequence continue to issue certificates in accordance with Directive 2004/49/EC</w:t>
      </w:r>
      <w:r w:rsidRPr="00C823EF">
        <w:t xml:space="preserve"> </w:t>
      </w:r>
      <w:r w:rsidRPr="00C823EF">
        <w:rPr>
          <w:noProof/>
        </w:rPr>
        <w:t>of the European Parliament and of the Council</w:t>
      </w:r>
      <w:r>
        <w:rPr>
          <w:rStyle w:val="FootnoteReference"/>
          <w:noProof/>
        </w:rPr>
        <w:footnoteReference w:id="7"/>
      </w:r>
      <w:r>
        <w:rPr>
          <w:noProof/>
        </w:rPr>
        <w:t xml:space="preserve"> until 16 June 2020. It is therefore necessary to align the application dates of this Regulation with the dates set out in Directive (EU) 2016/798 in order to allow smooth transition to the new certification regime.</w:t>
      </w:r>
    </w:p>
    <w:p w:rsidR="006E547D" w:rsidRPr="00F70E72" w:rsidRDefault="006E547D" w:rsidP="006E547D">
      <w:pPr>
        <w:pStyle w:val="Considrant"/>
        <w:rPr>
          <w:noProof/>
        </w:rPr>
      </w:pPr>
      <w:r w:rsidRPr="000936A8">
        <w:rPr>
          <w:noProof/>
        </w:rPr>
        <w:t xml:space="preserve">Regulation (EU) No </w:t>
      </w:r>
      <w:r>
        <w:rPr>
          <w:noProof/>
        </w:rPr>
        <w:t>1077</w:t>
      </w:r>
      <w:r w:rsidRPr="000936A8">
        <w:rPr>
          <w:noProof/>
        </w:rPr>
        <w:t>/201</w:t>
      </w:r>
      <w:r>
        <w:rPr>
          <w:noProof/>
        </w:rPr>
        <w:t>2</w:t>
      </w:r>
      <w:r w:rsidRPr="000936A8">
        <w:rPr>
          <w:noProof/>
        </w:rPr>
        <w:t xml:space="preserve"> </w:t>
      </w:r>
      <w:r w:rsidRPr="008F2184">
        <w:rPr>
          <w:noProof/>
        </w:rPr>
        <w:t>has become obsolete</w:t>
      </w:r>
      <w:r w:rsidRPr="000936A8">
        <w:rPr>
          <w:noProof/>
        </w:rPr>
        <w:t xml:space="preserve"> and should be replaced by this Regulation</w:t>
      </w:r>
      <w:r>
        <w:rPr>
          <w:noProof/>
        </w:rPr>
        <w:t>,</w:t>
      </w:r>
    </w:p>
    <w:p w:rsidR="006E547D" w:rsidRPr="00937BA9" w:rsidRDefault="006E547D" w:rsidP="009343DF">
      <w:pPr>
        <w:pStyle w:val="Formuledadoption"/>
      </w:pPr>
      <w:r w:rsidRPr="00937BA9">
        <w:t>HAS ADOPTED THIS REGULATION:</w:t>
      </w:r>
    </w:p>
    <w:p w:rsidR="006E547D" w:rsidRPr="00F70E72" w:rsidRDefault="006E547D" w:rsidP="006E547D">
      <w:pPr>
        <w:pStyle w:val="Titrearticle"/>
        <w:rPr>
          <w:noProof/>
        </w:rPr>
      </w:pPr>
      <w:r w:rsidRPr="00F70E72">
        <w:rPr>
          <w:noProof/>
        </w:rPr>
        <w:t>Article 1</w:t>
      </w:r>
    </w:p>
    <w:p w:rsidR="006E547D" w:rsidRPr="00F70E72" w:rsidRDefault="006E547D" w:rsidP="006E547D">
      <w:pPr>
        <w:pStyle w:val="NormalCentered"/>
        <w:rPr>
          <w:b/>
          <w:bCs/>
          <w:noProof/>
        </w:rPr>
      </w:pPr>
      <w:r w:rsidRPr="00F70E72">
        <w:rPr>
          <w:b/>
          <w:bCs/>
          <w:noProof/>
        </w:rPr>
        <w:t>Subject matter</w:t>
      </w:r>
    </w:p>
    <w:p w:rsidR="006E547D" w:rsidRPr="00F26FEC" w:rsidRDefault="006E547D" w:rsidP="006E547D">
      <w:r>
        <w:rPr>
          <w:noProof/>
        </w:rPr>
        <w:t>This Regulation establishes common safety methods</w:t>
      </w:r>
      <w:r w:rsidRPr="00F70E72">
        <w:rPr>
          <w:noProof/>
        </w:rPr>
        <w:t xml:space="preserve"> </w:t>
      </w:r>
      <w:r>
        <w:rPr>
          <w:noProof/>
        </w:rPr>
        <w:t>(</w:t>
      </w:r>
      <w:r w:rsidRPr="00DC7746">
        <w:rPr>
          <w:noProof/>
        </w:rPr>
        <w:t>'</w:t>
      </w:r>
      <w:r w:rsidRPr="00F70E72">
        <w:rPr>
          <w:noProof/>
        </w:rPr>
        <w:t>CSM</w:t>
      </w:r>
      <w:r>
        <w:rPr>
          <w:noProof/>
        </w:rPr>
        <w:t>s</w:t>
      </w:r>
      <w:r w:rsidRPr="00DC7746">
        <w:rPr>
          <w:noProof/>
        </w:rPr>
        <w:t>'</w:t>
      </w:r>
      <w:r>
        <w:rPr>
          <w:noProof/>
        </w:rPr>
        <w:t>), referred to in point (c) of Article 6(1)</w:t>
      </w:r>
      <w:r w:rsidRPr="00096235">
        <w:rPr>
          <w:noProof/>
        </w:rPr>
        <w:t xml:space="preserve"> of Directive (EU) 2016/798</w:t>
      </w:r>
      <w:r>
        <w:rPr>
          <w:noProof/>
        </w:rPr>
        <w:t>,</w:t>
      </w:r>
      <w:r w:rsidRPr="00F70E72">
        <w:rPr>
          <w:noProof/>
        </w:rPr>
        <w:t xml:space="preserve"> </w:t>
      </w:r>
      <w:r>
        <w:rPr>
          <w:noProof/>
        </w:rPr>
        <w:t xml:space="preserve">for the supervision of the management of </w:t>
      </w:r>
      <w:r w:rsidRPr="00F70E72">
        <w:rPr>
          <w:noProof/>
        </w:rPr>
        <w:t xml:space="preserve">safety </w:t>
      </w:r>
      <w:r>
        <w:rPr>
          <w:noProof/>
        </w:rPr>
        <w:t>by</w:t>
      </w:r>
      <w:r w:rsidRPr="00F70E72">
        <w:rPr>
          <w:noProof/>
        </w:rPr>
        <w:t xml:space="preserve"> </w:t>
      </w:r>
      <w:r w:rsidRPr="0071439A">
        <w:rPr>
          <w:noProof/>
        </w:rPr>
        <w:t xml:space="preserve">national safety authorities </w:t>
      </w:r>
      <w:r w:rsidRPr="00956E91">
        <w:rPr>
          <w:noProof/>
        </w:rPr>
        <w:t>after the railway undertakings</w:t>
      </w:r>
      <w:r w:rsidRPr="00BB1248">
        <w:rPr>
          <w:noProof/>
        </w:rPr>
        <w:t xml:space="preserve"> </w:t>
      </w:r>
      <w:r w:rsidRPr="005D2F65">
        <w:rPr>
          <w:noProof/>
        </w:rPr>
        <w:t>have been granted</w:t>
      </w:r>
      <w:r w:rsidRPr="00BA11B4">
        <w:rPr>
          <w:noProof/>
        </w:rPr>
        <w:t xml:space="preserve"> </w:t>
      </w:r>
      <w:r w:rsidRPr="00267A82">
        <w:rPr>
          <w:noProof/>
        </w:rPr>
        <w:t xml:space="preserve">a </w:t>
      </w:r>
      <w:r w:rsidRPr="006577A4">
        <w:rPr>
          <w:noProof/>
        </w:rPr>
        <w:t>single safety</w:t>
      </w:r>
      <w:r>
        <w:rPr>
          <w:noProof/>
        </w:rPr>
        <w:t xml:space="preserve"> certificate and </w:t>
      </w:r>
      <w:r w:rsidRPr="00F70E72">
        <w:rPr>
          <w:noProof/>
        </w:rPr>
        <w:t xml:space="preserve">infrastructure managers </w:t>
      </w:r>
      <w:r>
        <w:rPr>
          <w:noProof/>
        </w:rPr>
        <w:t>after they have been granted a safety authorisation</w:t>
      </w:r>
      <w:r w:rsidRPr="00F70E72">
        <w:rPr>
          <w:noProof/>
        </w:rPr>
        <w:t>.</w:t>
      </w:r>
    </w:p>
    <w:p w:rsidR="006E547D" w:rsidRPr="00F70E72" w:rsidRDefault="006E547D" w:rsidP="006E547D">
      <w:pPr>
        <w:pStyle w:val="Titrearticle"/>
        <w:rPr>
          <w:noProof/>
        </w:rPr>
      </w:pPr>
      <w:r w:rsidRPr="00F70E72">
        <w:rPr>
          <w:noProof/>
        </w:rPr>
        <w:t xml:space="preserve">Article </w:t>
      </w:r>
      <w:r>
        <w:rPr>
          <w:noProof/>
        </w:rPr>
        <w:t>2</w:t>
      </w:r>
    </w:p>
    <w:p w:rsidR="006E547D" w:rsidRPr="00F70E72" w:rsidRDefault="006E547D" w:rsidP="00A07C5C">
      <w:pPr>
        <w:pStyle w:val="NormalCentered"/>
        <w:keepNext/>
        <w:rPr>
          <w:b/>
          <w:bCs/>
          <w:noProof/>
        </w:rPr>
      </w:pPr>
      <w:r w:rsidRPr="00F70E72">
        <w:rPr>
          <w:b/>
          <w:bCs/>
          <w:noProof/>
        </w:rPr>
        <w:t>Definition</w:t>
      </w:r>
    </w:p>
    <w:p w:rsidR="006E547D" w:rsidRDefault="006E547D" w:rsidP="00A07C5C">
      <w:pPr>
        <w:rPr>
          <w:noProof/>
        </w:rPr>
      </w:pPr>
      <w:r w:rsidRPr="002B43BA">
        <w:rPr>
          <w:noProof/>
        </w:rPr>
        <w:t>For the purposes of this Regulation</w:t>
      </w:r>
      <w:r>
        <w:rPr>
          <w:noProof/>
        </w:rPr>
        <w:t>,</w:t>
      </w:r>
      <w:r w:rsidRPr="002B43BA">
        <w:rPr>
          <w:noProof/>
        </w:rPr>
        <w:t xml:space="preserve"> </w:t>
      </w:r>
      <w:r>
        <w:rPr>
          <w:noProof/>
        </w:rPr>
        <w:t>the following definitions shall apply:</w:t>
      </w:r>
      <w:r w:rsidRPr="00EB1A3A">
        <w:rPr>
          <w:noProof/>
        </w:rPr>
        <w:t xml:space="preserve"> </w:t>
      </w:r>
    </w:p>
    <w:p w:rsidR="006E547D" w:rsidRPr="00613930" w:rsidRDefault="006E547D" w:rsidP="00172361">
      <w:pPr>
        <w:pStyle w:val="Point0letter"/>
        <w:numPr>
          <w:ilvl w:val="1"/>
          <w:numId w:val="32"/>
        </w:numPr>
      </w:pPr>
      <w:r w:rsidRPr="00613930">
        <w:t>‘safety certification body’ means the body responsible for issuing a single safety certificate, either the Agency or a national safety authority;</w:t>
      </w:r>
    </w:p>
    <w:p w:rsidR="006E547D" w:rsidRPr="00EB1A3A" w:rsidRDefault="006E547D" w:rsidP="006E547D">
      <w:pPr>
        <w:pStyle w:val="Point0letter"/>
      </w:pPr>
      <w:r w:rsidRPr="00EB1A3A">
        <w:t xml:space="preserve">‘residual concern’ means a minor issue identified during the assessment of an application for a single safety certificate or for a safety authorisation which does not prevent </w:t>
      </w:r>
      <w:r>
        <w:t>their</w:t>
      </w:r>
      <w:r w:rsidRPr="00EB1A3A">
        <w:t xml:space="preserve"> issuing and can be </w:t>
      </w:r>
      <w:r w:rsidRPr="00DE7C53">
        <w:t>deferred for</w:t>
      </w:r>
      <w:r w:rsidRPr="00BA1F01">
        <w:t xml:space="preserve"> later supervision.</w:t>
      </w:r>
    </w:p>
    <w:p w:rsidR="006E547D" w:rsidRPr="00F70E72" w:rsidRDefault="006E547D" w:rsidP="006E547D">
      <w:pPr>
        <w:pStyle w:val="Titrearticle"/>
        <w:rPr>
          <w:noProof/>
        </w:rPr>
      </w:pPr>
      <w:r w:rsidRPr="00F70E72">
        <w:rPr>
          <w:noProof/>
        </w:rPr>
        <w:t xml:space="preserve">Article </w:t>
      </w:r>
      <w:r>
        <w:rPr>
          <w:noProof/>
        </w:rPr>
        <w:t>3</w:t>
      </w:r>
    </w:p>
    <w:p w:rsidR="006E547D" w:rsidRPr="00F70E72" w:rsidRDefault="006E547D" w:rsidP="006E547D">
      <w:pPr>
        <w:pStyle w:val="NormalCentered"/>
        <w:rPr>
          <w:b/>
          <w:bCs/>
          <w:noProof/>
        </w:rPr>
      </w:pPr>
      <w:r>
        <w:rPr>
          <w:b/>
          <w:bCs/>
          <w:noProof/>
        </w:rPr>
        <w:t>Supervision process</w:t>
      </w:r>
    </w:p>
    <w:p w:rsidR="006E547D" w:rsidRPr="00636DF0" w:rsidRDefault="006E547D" w:rsidP="00172361">
      <w:pPr>
        <w:pStyle w:val="NumPar1"/>
        <w:numPr>
          <w:ilvl w:val="0"/>
          <w:numId w:val="3"/>
        </w:numPr>
      </w:pPr>
      <w:r w:rsidRPr="00636DF0">
        <w:t>National safety authorities shall apply the supervision process set out in Annex I.</w:t>
      </w:r>
    </w:p>
    <w:p w:rsidR="006E547D" w:rsidRPr="00636DF0" w:rsidRDefault="006E547D" w:rsidP="00172361">
      <w:pPr>
        <w:pStyle w:val="NumPar1"/>
        <w:numPr>
          <w:ilvl w:val="0"/>
          <w:numId w:val="3"/>
        </w:numPr>
      </w:pPr>
      <w:r w:rsidRPr="00636DF0">
        <w:t>National safety authorities shall establish internal arrangements or procedures for managing the supervision process.</w:t>
      </w:r>
    </w:p>
    <w:p w:rsidR="006E547D" w:rsidRPr="00636DF0" w:rsidRDefault="006E547D" w:rsidP="00172361">
      <w:pPr>
        <w:pStyle w:val="NumPar1"/>
        <w:numPr>
          <w:ilvl w:val="0"/>
          <w:numId w:val="3"/>
        </w:numPr>
      </w:pPr>
      <w:r w:rsidRPr="00636DF0">
        <w:t>For the purposes of supervision, the national safety authorities shall accept the authorisations, recognitions or certificates of products or services provided by railway undertakings and infrastructure managers, or their contractors, partners or suppliers, granted in accordance with relevant Union law, as proof of the ability of railway undertakings and infrastructure managers to fulfil the corresponding requirements defined in Delegated Regulation (EU) No …/…</w:t>
      </w:r>
      <w:r w:rsidRPr="00636DF0">
        <w:rPr>
          <w:rStyle w:val="FootnoteReference"/>
        </w:rPr>
        <w:footnoteReference w:id="8"/>
      </w:r>
      <w:r w:rsidRPr="00636DF0">
        <w:t xml:space="preserve"> [</w:t>
      </w:r>
      <w:r w:rsidRPr="00636DF0">
        <w:rPr>
          <w:i/>
        </w:rPr>
        <w:t>on safety management system</w:t>
      </w:r>
      <w:r w:rsidRPr="00636DF0">
        <w:t>].</w:t>
      </w:r>
    </w:p>
    <w:p w:rsidR="006E547D" w:rsidRPr="00F70E72" w:rsidRDefault="006E547D" w:rsidP="006E547D">
      <w:pPr>
        <w:pStyle w:val="Titrearticle"/>
        <w:rPr>
          <w:noProof/>
        </w:rPr>
      </w:pPr>
      <w:r>
        <w:rPr>
          <w:noProof/>
        </w:rPr>
        <w:t>Article 4</w:t>
      </w:r>
    </w:p>
    <w:p w:rsidR="006E547D" w:rsidRPr="00F70E72" w:rsidRDefault="006E547D" w:rsidP="006E547D">
      <w:pPr>
        <w:pStyle w:val="NormalCentered"/>
        <w:rPr>
          <w:b/>
          <w:bCs/>
          <w:noProof/>
        </w:rPr>
      </w:pPr>
      <w:r w:rsidRPr="00F70E72">
        <w:rPr>
          <w:b/>
          <w:bCs/>
          <w:noProof/>
        </w:rPr>
        <w:t>Techniques for supervision</w:t>
      </w:r>
    </w:p>
    <w:p w:rsidR="006E547D" w:rsidRPr="00F70E72" w:rsidRDefault="006E547D" w:rsidP="006E547D">
      <w:pPr>
        <w:rPr>
          <w:noProof/>
        </w:rPr>
      </w:pPr>
      <w:r>
        <w:rPr>
          <w:noProof/>
        </w:rPr>
        <w:t>N</w:t>
      </w:r>
      <w:r w:rsidRPr="0078310D">
        <w:rPr>
          <w:noProof/>
          <w:lang w:val="en-US"/>
        </w:rPr>
        <w:t>ational safety authorities</w:t>
      </w:r>
      <w:r>
        <w:rPr>
          <w:noProof/>
          <w:lang w:val="en-US"/>
        </w:rPr>
        <w:t xml:space="preserve"> </w:t>
      </w:r>
      <w:r w:rsidRPr="00F70E72">
        <w:rPr>
          <w:noProof/>
        </w:rPr>
        <w:t xml:space="preserve">shall adopt </w:t>
      </w:r>
      <w:r>
        <w:rPr>
          <w:noProof/>
        </w:rPr>
        <w:t xml:space="preserve">suitable </w:t>
      </w:r>
      <w:r w:rsidRPr="00F70E72">
        <w:rPr>
          <w:noProof/>
        </w:rPr>
        <w:t>techniques</w:t>
      </w:r>
      <w:r>
        <w:rPr>
          <w:noProof/>
        </w:rPr>
        <w:t>, such as</w:t>
      </w:r>
      <w:r w:rsidRPr="009E5DF9">
        <w:rPr>
          <w:noProof/>
        </w:rPr>
        <w:t xml:space="preserve"> audits and inspections</w:t>
      </w:r>
      <w:r>
        <w:rPr>
          <w:noProof/>
        </w:rPr>
        <w:t>, and select the most appropriate ones when planning their supervision activities</w:t>
      </w:r>
      <w:r w:rsidRPr="00F70E72">
        <w:rPr>
          <w:noProof/>
        </w:rPr>
        <w:t>.</w:t>
      </w:r>
    </w:p>
    <w:p w:rsidR="006E547D" w:rsidRPr="00F70E72" w:rsidRDefault="006E547D" w:rsidP="006E547D">
      <w:pPr>
        <w:pStyle w:val="Titrearticle"/>
        <w:rPr>
          <w:noProof/>
        </w:rPr>
      </w:pPr>
      <w:r>
        <w:rPr>
          <w:noProof/>
        </w:rPr>
        <w:t>Article 5</w:t>
      </w:r>
    </w:p>
    <w:p w:rsidR="006E547D" w:rsidRDefault="006E547D" w:rsidP="006E547D">
      <w:pPr>
        <w:pStyle w:val="NormalCentered"/>
        <w:keepNext/>
        <w:rPr>
          <w:b/>
          <w:bCs/>
          <w:noProof/>
        </w:rPr>
      </w:pPr>
      <w:r>
        <w:rPr>
          <w:b/>
          <w:bCs/>
          <w:noProof/>
        </w:rPr>
        <w:t>Links between supervision and assessment</w:t>
      </w:r>
    </w:p>
    <w:p w:rsidR="006E547D" w:rsidRDefault="006E547D" w:rsidP="00172361">
      <w:pPr>
        <w:pStyle w:val="NumPar1"/>
        <w:numPr>
          <w:ilvl w:val="0"/>
          <w:numId w:val="5"/>
        </w:numPr>
        <w:rPr>
          <w:noProof/>
        </w:rPr>
      </w:pPr>
      <w:r w:rsidRPr="00F70E72">
        <w:rPr>
          <w:noProof/>
        </w:rPr>
        <w:t xml:space="preserve">The </w:t>
      </w:r>
      <w:r w:rsidRPr="0078310D">
        <w:rPr>
          <w:noProof/>
        </w:rPr>
        <w:t>national safety authorit</w:t>
      </w:r>
      <w:r>
        <w:rPr>
          <w:noProof/>
        </w:rPr>
        <w:t xml:space="preserve">y </w:t>
      </w:r>
      <w:r w:rsidRPr="00ED2E58">
        <w:rPr>
          <w:noProof/>
        </w:rPr>
        <w:t>carrying out supervision</w:t>
      </w:r>
      <w:r>
        <w:rPr>
          <w:noProof/>
        </w:rPr>
        <w:t xml:space="preserve"> shall use and, where relevant, share </w:t>
      </w:r>
      <w:r w:rsidRPr="00F70E72">
        <w:rPr>
          <w:noProof/>
        </w:rPr>
        <w:t xml:space="preserve">information gathered </w:t>
      </w:r>
      <w:r>
        <w:rPr>
          <w:noProof/>
        </w:rPr>
        <w:t xml:space="preserve">on the performance of the safety management system </w:t>
      </w:r>
      <w:r w:rsidRPr="00F70E72">
        <w:rPr>
          <w:noProof/>
        </w:rPr>
        <w:t xml:space="preserve">during </w:t>
      </w:r>
      <w:r>
        <w:rPr>
          <w:noProof/>
        </w:rPr>
        <w:t>its</w:t>
      </w:r>
      <w:r w:rsidRPr="00F70E72">
        <w:rPr>
          <w:noProof/>
        </w:rPr>
        <w:t xml:space="preserve"> supervision activities </w:t>
      </w:r>
      <w:r>
        <w:rPr>
          <w:noProof/>
        </w:rPr>
        <w:t>for the purpose of renewing or updating</w:t>
      </w:r>
      <w:r w:rsidRPr="00F70E72">
        <w:rPr>
          <w:noProof/>
        </w:rPr>
        <w:t xml:space="preserve"> </w:t>
      </w:r>
      <w:r>
        <w:rPr>
          <w:noProof/>
        </w:rPr>
        <w:t xml:space="preserve">single </w:t>
      </w:r>
      <w:r w:rsidRPr="00F70E72">
        <w:rPr>
          <w:noProof/>
        </w:rPr>
        <w:t>safety certificate</w:t>
      </w:r>
      <w:r>
        <w:rPr>
          <w:noProof/>
        </w:rPr>
        <w:t>s</w:t>
      </w:r>
      <w:r w:rsidRPr="00F70E72">
        <w:rPr>
          <w:noProof/>
        </w:rPr>
        <w:t xml:space="preserve"> or safety authorisation</w:t>
      </w:r>
      <w:r>
        <w:rPr>
          <w:noProof/>
        </w:rPr>
        <w:t>s</w:t>
      </w:r>
      <w:r w:rsidRPr="00F70E72">
        <w:rPr>
          <w:noProof/>
        </w:rPr>
        <w:t>.</w:t>
      </w:r>
    </w:p>
    <w:p w:rsidR="006E547D" w:rsidRDefault="006E547D" w:rsidP="006E547D">
      <w:pPr>
        <w:pStyle w:val="NumPar1"/>
        <w:rPr>
          <w:noProof/>
        </w:rPr>
      </w:pPr>
      <w:r>
        <w:rPr>
          <w:noProof/>
        </w:rPr>
        <w:t xml:space="preserve">In cases where the national safety </w:t>
      </w:r>
      <w:r w:rsidRPr="00ED2E58">
        <w:rPr>
          <w:noProof/>
        </w:rPr>
        <w:t>authority referred to in paragraph 1 is not responsible for issuing the single safety certificate or safety authorisation, it shall coordinate promptly with the Agency</w:t>
      </w:r>
      <w:r>
        <w:rPr>
          <w:noProof/>
        </w:rPr>
        <w:t xml:space="preserve"> acting as safety certification body or the relevant national safety authority, in the case of cross-border infrastructure, on its request,</w:t>
      </w:r>
      <w:r w:rsidRPr="00772A12">
        <w:rPr>
          <w:noProof/>
        </w:rPr>
        <w:t xml:space="preserve"> </w:t>
      </w:r>
      <w:r>
        <w:rPr>
          <w:noProof/>
        </w:rPr>
        <w:t>after the receipt of an application for renewal or update.</w:t>
      </w:r>
    </w:p>
    <w:p w:rsidR="006E547D" w:rsidRDefault="006E547D" w:rsidP="006E547D">
      <w:pPr>
        <w:pStyle w:val="Text1"/>
        <w:keepNext/>
        <w:rPr>
          <w:noProof/>
        </w:rPr>
      </w:pPr>
      <w:r>
        <w:rPr>
          <w:noProof/>
        </w:rPr>
        <w:t>Based on the outcome of the coordination referred to in the first subparagraph, the national safety authority shall identify and target the information which</w:t>
      </w:r>
      <w:r w:rsidRPr="00772A12">
        <w:rPr>
          <w:noProof/>
        </w:rPr>
        <w:t xml:space="preserve"> is relevant to </w:t>
      </w:r>
      <w:r>
        <w:rPr>
          <w:noProof/>
        </w:rPr>
        <w:t xml:space="preserve">assessing whether </w:t>
      </w:r>
      <w:r w:rsidRPr="00A34966">
        <w:rPr>
          <w:noProof/>
        </w:rPr>
        <w:t>t</w:t>
      </w:r>
      <w:r w:rsidRPr="00AB18A5">
        <w:rPr>
          <w:noProof/>
        </w:rPr>
        <w:t>he</w:t>
      </w:r>
      <w:r w:rsidRPr="00772A12">
        <w:rPr>
          <w:noProof/>
        </w:rPr>
        <w:t xml:space="preserve"> </w:t>
      </w:r>
      <w:r w:rsidRPr="00F70E72">
        <w:rPr>
          <w:noProof/>
        </w:rPr>
        <w:t xml:space="preserve">railway undertaking’s or infrastructure manager’s </w:t>
      </w:r>
      <w:r>
        <w:rPr>
          <w:noProof/>
        </w:rPr>
        <w:t>s</w:t>
      </w:r>
      <w:r w:rsidRPr="00772A12">
        <w:rPr>
          <w:noProof/>
        </w:rPr>
        <w:t xml:space="preserve">afety </w:t>
      </w:r>
      <w:r>
        <w:rPr>
          <w:noProof/>
        </w:rPr>
        <w:t>m</w:t>
      </w:r>
      <w:r w:rsidRPr="00772A12">
        <w:rPr>
          <w:noProof/>
        </w:rPr>
        <w:t xml:space="preserve">anagement </w:t>
      </w:r>
      <w:r>
        <w:rPr>
          <w:noProof/>
        </w:rPr>
        <w:t>s</w:t>
      </w:r>
      <w:r w:rsidRPr="00772A12">
        <w:rPr>
          <w:noProof/>
        </w:rPr>
        <w:t xml:space="preserve">ystem is </w:t>
      </w:r>
      <w:r>
        <w:rPr>
          <w:noProof/>
        </w:rPr>
        <w:t xml:space="preserve">effectively </w:t>
      </w:r>
      <w:r w:rsidRPr="00772A12">
        <w:rPr>
          <w:noProof/>
        </w:rPr>
        <w:t>working</w:t>
      </w:r>
      <w:r>
        <w:rPr>
          <w:noProof/>
        </w:rPr>
        <w:t>, including at least:</w:t>
      </w:r>
    </w:p>
    <w:p w:rsidR="006E547D" w:rsidRPr="00636DF0" w:rsidRDefault="006E547D" w:rsidP="00172361">
      <w:pPr>
        <w:pStyle w:val="Point1letter"/>
        <w:numPr>
          <w:ilvl w:val="3"/>
          <w:numId w:val="6"/>
        </w:numPr>
      </w:pPr>
      <w:r w:rsidRPr="00636DF0">
        <w:t>a description of major non-compliances, which may affect safety performance or create serious safety risks, and any other area of concern identified during supervision activities since the previous assessment;</w:t>
      </w:r>
    </w:p>
    <w:p w:rsidR="006E547D" w:rsidRDefault="006E547D" w:rsidP="00172361">
      <w:pPr>
        <w:pStyle w:val="Point1letter"/>
        <w:numPr>
          <w:ilvl w:val="3"/>
          <w:numId w:val="6"/>
        </w:numPr>
      </w:pPr>
      <w:r>
        <w:t>the status of the action plan (or plans) established by the railway undertaking or infrastructure manager to resolve major non-compliances and any other area of concern referred to in point (a) and relevant actions that have been taken by the national safety authority to supervise resolution of these issues;</w:t>
      </w:r>
    </w:p>
    <w:p w:rsidR="006E547D" w:rsidRDefault="006E547D" w:rsidP="00172361">
      <w:pPr>
        <w:pStyle w:val="Point1letter"/>
        <w:numPr>
          <w:ilvl w:val="3"/>
          <w:numId w:val="6"/>
        </w:numPr>
      </w:pPr>
      <w:r>
        <w:t xml:space="preserve">an </w:t>
      </w:r>
      <w:r w:rsidRPr="00F70E72">
        <w:t>overview o</w:t>
      </w:r>
      <w:r>
        <w:t xml:space="preserve">f the safety performance of the </w:t>
      </w:r>
      <w:r w:rsidRPr="00F70E72">
        <w:t>railway underta</w:t>
      </w:r>
      <w:r>
        <w:t>king or infrastructure manager</w:t>
      </w:r>
      <w:r w:rsidRPr="00F70E72">
        <w:t xml:space="preserve"> operating in its Member State</w:t>
      </w:r>
      <w:r>
        <w:t>;</w:t>
      </w:r>
    </w:p>
    <w:p w:rsidR="006E547D" w:rsidRDefault="006E547D" w:rsidP="00172361">
      <w:pPr>
        <w:pStyle w:val="Point1letter"/>
        <w:numPr>
          <w:ilvl w:val="3"/>
          <w:numId w:val="6"/>
        </w:numPr>
      </w:pPr>
      <w:r>
        <w:t>the status of the action plan (or plans) established by the railway undertaking or infrastructure manager to resolve residual concerns from previous assessment.</w:t>
      </w:r>
    </w:p>
    <w:p w:rsidR="006E547D" w:rsidRPr="00F70E72" w:rsidRDefault="006E547D" w:rsidP="006E547D">
      <w:pPr>
        <w:pStyle w:val="Titrearticle"/>
        <w:rPr>
          <w:noProof/>
        </w:rPr>
      </w:pPr>
      <w:r>
        <w:rPr>
          <w:noProof/>
        </w:rPr>
        <w:t>Article 6</w:t>
      </w:r>
    </w:p>
    <w:p w:rsidR="006E547D" w:rsidRPr="004A6443" w:rsidRDefault="006E547D" w:rsidP="006E547D">
      <w:pPr>
        <w:pStyle w:val="NormalCentered"/>
        <w:keepNext/>
        <w:rPr>
          <w:b/>
          <w:bCs/>
          <w:noProof/>
        </w:rPr>
      </w:pPr>
      <w:r w:rsidRPr="004A6443">
        <w:rPr>
          <w:b/>
          <w:bCs/>
          <w:noProof/>
        </w:rPr>
        <w:t xml:space="preserve">Competence of the staff involved in </w:t>
      </w:r>
      <w:r>
        <w:rPr>
          <w:b/>
          <w:bCs/>
          <w:noProof/>
        </w:rPr>
        <w:t>supervision</w:t>
      </w:r>
    </w:p>
    <w:p w:rsidR="006E547D" w:rsidRDefault="006E547D" w:rsidP="00172361">
      <w:pPr>
        <w:pStyle w:val="NumPar1"/>
        <w:numPr>
          <w:ilvl w:val="0"/>
          <w:numId w:val="4"/>
        </w:numPr>
        <w:rPr>
          <w:noProof/>
        </w:rPr>
      </w:pPr>
      <w:r>
        <w:rPr>
          <w:noProof/>
        </w:rPr>
        <w:t>The national safety authorities shall ensure that staff involved in supervision have the following competencies:</w:t>
      </w:r>
    </w:p>
    <w:p w:rsidR="006E547D" w:rsidRDefault="006E547D" w:rsidP="00172361">
      <w:pPr>
        <w:pStyle w:val="Point1letter"/>
        <w:numPr>
          <w:ilvl w:val="3"/>
          <w:numId w:val="7"/>
        </w:numPr>
      </w:pPr>
      <w:r>
        <w:t>knowledge of the relevant regulatory framework as it applies to supervision;</w:t>
      </w:r>
    </w:p>
    <w:p w:rsidR="006E547D" w:rsidRDefault="006E547D" w:rsidP="00172361">
      <w:pPr>
        <w:pStyle w:val="Point1letter"/>
        <w:numPr>
          <w:ilvl w:val="3"/>
          <w:numId w:val="7"/>
        </w:numPr>
      </w:pPr>
      <w:r>
        <w:t>knowledge of the functioning of the railway system;</w:t>
      </w:r>
    </w:p>
    <w:p w:rsidR="006E547D" w:rsidRDefault="006E547D" w:rsidP="00172361">
      <w:pPr>
        <w:pStyle w:val="Point1letter"/>
        <w:numPr>
          <w:ilvl w:val="3"/>
          <w:numId w:val="7"/>
        </w:numPr>
      </w:pPr>
      <w:r>
        <w:t>appropriate level of critical analysis;</w:t>
      </w:r>
    </w:p>
    <w:p w:rsidR="006E547D" w:rsidRDefault="006E547D" w:rsidP="00172361">
      <w:pPr>
        <w:pStyle w:val="Point1letter"/>
        <w:numPr>
          <w:ilvl w:val="3"/>
          <w:numId w:val="7"/>
        </w:numPr>
      </w:pPr>
      <w:r>
        <w:t xml:space="preserve">experience in the supervision of </w:t>
      </w:r>
      <w:r w:rsidRPr="00317FA2">
        <w:t>a safety or similar management system in the railway sector</w:t>
      </w:r>
      <w:r>
        <w:t>,</w:t>
      </w:r>
      <w:r w:rsidRPr="00317FA2">
        <w:t xml:space="preserve"> or a safety management system in a sector with equivalent operational and technical challenges</w:t>
      </w:r>
      <w:r>
        <w:t>;</w:t>
      </w:r>
    </w:p>
    <w:p w:rsidR="006E547D" w:rsidRDefault="006E547D" w:rsidP="00172361">
      <w:pPr>
        <w:pStyle w:val="Point1letter"/>
        <w:numPr>
          <w:ilvl w:val="3"/>
          <w:numId w:val="7"/>
        </w:numPr>
      </w:pPr>
      <w:r>
        <w:t>knowledge of and experience in interviewing skills;</w:t>
      </w:r>
    </w:p>
    <w:p w:rsidR="006E547D" w:rsidRDefault="006E547D" w:rsidP="00172361">
      <w:pPr>
        <w:pStyle w:val="Point1letter"/>
        <w:numPr>
          <w:ilvl w:val="3"/>
          <w:numId w:val="7"/>
        </w:numPr>
      </w:pPr>
      <w:r>
        <w:t>problem solving, communication and team working.</w:t>
      </w:r>
    </w:p>
    <w:p w:rsidR="006E547D" w:rsidRDefault="006E547D" w:rsidP="00172361">
      <w:pPr>
        <w:pStyle w:val="NumPar1"/>
        <w:numPr>
          <w:ilvl w:val="0"/>
          <w:numId w:val="4"/>
        </w:numPr>
        <w:rPr>
          <w:noProof/>
        </w:rPr>
      </w:pPr>
      <w:r>
        <w:rPr>
          <w:noProof/>
        </w:rPr>
        <w:t>In the case of team work, the competencies may be shared amongst the team members.</w:t>
      </w:r>
    </w:p>
    <w:p w:rsidR="006E547D" w:rsidRDefault="006E547D" w:rsidP="00172361">
      <w:pPr>
        <w:pStyle w:val="NumPar1"/>
        <w:numPr>
          <w:ilvl w:val="0"/>
          <w:numId w:val="4"/>
        </w:numPr>
        <w:rPr>
          <w:noProof/>
        </w:rPr>
      </w:pPr>
      <w:r>
        <w:rPr>
          <w:noProof/>
        </w:rPr>
        <w:t>With a view to ensuring the correct application of paragraph 1, the national safety authorities shall put in place a competence management system which shall include:</w:t>
      </w:r>
    </w:p>
    <w:p w:rsidR="006E547D" w:rsidRPr="00433E02" w:rsidRDefault="006E547D" w:rsidP="00172361">
      <w:pPr>
        <w:pStyle w:val="Point1letter"/>
        <w:numPr>
          <w:ilvl w:val="3"/>
          <w:numId w:val="8"/>
        </w:numPr>
      </w:pPr>
      <w:r>
        <w:t xml:space="preserve">the </w:t>
      </w:r>
      <w:r w:rsidRPr="00433E02">
        <w:t>development of competence profiles for each job, position or role;</w:t>
      </w:r>
    </w:p>
    <w:p w:rsidR="006E547D" w:rsidRPr="00433E02" w:rsidRDefault="006E547D" w:rsidP="00172361">
      <w:pPr>
        <w:pStyle w:val="Point1letter"/>
        <w:numPr>
          <w:ilvl w:val="3"/>
          <w:numId w:val="8"/>
        </w:numPr>
      </w:pPr>
      <w:r w:rsidRPr="00433E02">
        <w:t xml:space="preserve">the recruitment of staff in accordance with the established </w:t>
      </w:r>
      <w:r w:rsidRPr="00636DF0">
        <w:t>competence profiles</w:t>
      </w:r>
      <w:r w:rsidRPr="00433E02">
        <w:t>;</w:t>
      </w:r>
    </w:p>
    <w:p w:rsidR="006E547D" w:rsidRDefault="006E547D" w:rsidP="00172361">
      <w:pPr>
        <w:pStyle w:val="Point1letter"/>
        <w:numPr>
          <w:ilvl w:val="3"/>
          <w:numId w:val="8"/>
        </w:numPr>
      </w:pPr>
      <w:r w:rsidRPr="00997F3A">
        <w:t xml:space="preserve">the maintenance, development and assessment of staff competence in accordance with the established competence </w:t>
      </w:r>
      <w:r w:rsidRPr="00636DF0">
        <w:t>profiles</w:t>
      </w:r>
      <w:r w:rsidRPr="00433E02">
        <w:t>.</w:t>
      </w:r>
    </w:p>
    <w:p w:rsidR="006E547D" w:rsidRPr="00F70E72" w:rsidRDefault="006E547D" w:rsidP="006E547D">
      <w:pPr>
        <w:pStyle w:val="Titrearticle"/>
        <w:rPr>
          <w:noProof/>
        </w:rPr>
      </w:pPr>
      <w:r>
        <w:rPr>
          <w:noProof/>
        </w:rPr>
        <w:t>Article 7</w:t>
      </w:r>
    </w:p>
    <w:p w:rsidR="006E547D" w:rsidRPr="00962EFE" w:rsidRDefault="006E547D" w:rsidP="006E547D">
      <w:pPr>
        <w:pStyle w:val="NormalCentered"/>
        <w:rPr>
          <w:bCs/>
          <w:noProof/>
        </w:rPr>
      </w:pPr>
      <w:r w:rsidRPr="00F70E72">
        <w:rPr>
          <w:b/>
          <w:bCs/>
          <w:noProof/>
        </w:rPr>
        <w:t>Decision-making criteria</w:t>
      </w:r>
    </w:p>
    <w:p w:rsidR="006E547D" w:rsidRPr="00450B8A" w:rsidRDefault="006E547D" w:rsidP="00172361">
      <w:pPr>
        <w:pStyle w:val="NumPar1"/>
        <w:numPr>
          <w:ilvl w:val="0"/>
          <w:numId w:val="9"/>
        </w:numPr>
        <w:rPr>
          <w:noProof/>
        </w:rPr>
      </w:pPr>
      <w:r w:rsidRPr="00F70E72">
        <w:rPr>
          <w:noProof/>
        </w:rPr>
        <w:t xml:space="preserve">The </w:t>
      </w:r>
      <w:r w:rsidRPr="00450B8A">
        <w:rPr>
          <w:noProof/>
        </w:rPr>
        <w:t xml:space="preserve">national safety authority shall establish and publish decision-making criteria on how it evaluates the correct application of a safety management system by a railway undertaking or an infrastructure manager and the effectiveness of the safety management system in controlling safety risks associated with the activities of the railway undertaking or infrastructure manager. </w:t>
      </w:r>
    </w:p>
    <w:p w:rsidR="006E547D" w:rsidRPr="00F70E72" w:rsidRDefault="006E547D" w:rsidP="00A07C5C">
      <w:pPr>
        <w:pStyle w:val="Text1"/>
        <w:rPr>
          <w:noProof/>
        </w:rPr>
      </w:pPr>
      <w:r w:rsidRPr="00450B8A">
        <w:rPr>
          <w:noProof/>
        </w:rPr>
        <w:t>These criteria shall include information on how the national safety authority manages and deals with non-compliances identified in the safety management system of the railway undertaking and infrastructure manager.</w:t>
      </w:r>
    </w:p>
    <w:p w:rsidR="006E547D" w:rsidRPr="00F70E72" w:rsidRDefault="006E547D" w:rsidP="00172361">
      <w:pPr>
        <w:pStyle w:val="NumPar1"/>
        <w:numPr>
          <w:ilvl w:val="0"/>
          <w:numId w:val="9"/>
        </w:numPr>
        <w:rPr>
          <w:noProof/>
        </w:rPr>
      </w:pPr>
      <w:r w:rsidRPr="00F70E72">
        <w:rPr>
          <w:noProof/>
        </w:rPr>
        <w:t xml:space="preserve">The </w:t>
      </w:r>
      <w:r>
        <w:rPr>
          <w:noProof/>
        </w:rPr>
        <w:t>national safety authority</w:t>
      </w:r>
      <w:r w:rsidRPr="00F70E72">
        <w:rPr>
          <w:noProof/>
        </w:rPr>
        <w:t xml:space="preserve"> shall adopt and </w:t>
      </w:r>
      <w:r w:rsidRPr="002C69A5">
        <w:rPr>
          <w:noProof/>
        </w:rPr>
        <w:t>publish a procedure</w:t>
      </w:r>
      <w:r w:rsidRPr="00F70E72">
        <w:rPr>
          <w:noProof/>
        </w:rPr>
        <w:t xml:space="preserve"> </w:t>
      </w:r>
      <w:r>
        <w:rPr>
          <w:noProof/>
        </w:rPr>
        <w:t xml:space="preserve">detailing how </w:t>
      </w:r>
      <w:r w:rsidRPr="002C69A5">
        <w:rPr>
          <w:noProof/>
        </w:rPr>
        <w:t xml:space="preserve">railway undertakings, infrastructure managers </w:t>
      </w:r>
      <w:r>
        <w:rPr>
          <w:noProof/>
        </w:rPr>
        <w:t xml:space="preserve">and any other interested party may </w:t>
      </w:r>
      <w:r w:rsidRPr="00F70E72">
        <w:rPr>
          <w:noProof/>
        </w:rPr>
        <w:t>submit a complaint on decisions taken during supervision activitie</w:t>
      </w:r>
      <w:r w:rsidRPr="002C69A5">
        <w:rPr>
          <w:noProof/>
        </w:rPr>
        <w:t>s.</w:t>
      </w:r>
    </w:p>
    <w:p w:rsidR="006E547D" w:rsidRPr="00F70E72" w:rsidRDefault="006E547D" w:rsidP="006E547D">
      <w:pPr>
        <w:pStyle w:val="Titrearticle"/>
        <w:rPr>
          <w:noProof/>
        </w:rPr>
      </w:pPr>
      <w:r w:rsidRPr="00F70E72">
        <w:rPr>
          <w:noProof/>
        </w:rPr>
        <w:t>Articl</w:t>
      </w:r>
      <w:r>
        <w:rPr>
          <w:noProof/>
        </w:rPr>
        <w:t>e 8</w:t>
      </w:r>
    </w:p>
    <w:p w:rsidR="006E547D" w:rsidRPr="00F70E72" w:rsidRDefault="006E547D" w:rsidP="006E547D">
      <w:pPr>
        <w:pStyle w:val="NormalCentered"/>
        <w:rPr>
          <w:b/>
          <w:bCs/>
          <w:noProof/>
        </w:rPr>
      </w:pPr>
      <w:r w:rsidRPr="00F70E72">
        <w:rPr>
          <w:b/>
          <w:bCs/>
          <w:noProof/>
        </w:rPr>
        <w:t xml:space="preserve">Coordination </w:t>
      </w:r>
      <w:r>
        <w:rPr>
          <w:b/>
          <w:bCs/>
          <w:noProof/>
        </w:rPr>
        <w:t xml:space="preserve">among </w:t>
      </w:r>
      <w:r w:rsidRPr="005D1FB6">
        <w:rPr>
          <w:b/>
          <w:bCs/>
          <w:noProof/>
        </w:rPr>
        <w:t>national safety authorities</w:t>
      </w:r>
      <w:r>
        <w:rPr>
          <w:b/>
          <w:bCs/>
          <w:noProof/>
        </w:rPr>
        <w:t xml:space="preserve"> </w:t>
      </w:r>
      <w:r w:rsidRPr="00F70E72">
        <w:rPr>
          <w:b/>
          <w:bCs/>
          <w:noProof/>
        </w:rPr>
        <w:t>and cooperation</w:t>
      </w:r>
      <w:r>
        <w:rPr>
          <w:b/>
          <w:bCs/>
          <w:noProof/>
        </w:rPr>
        <w:t xml:space="preserve"> with other authorities or bodies</w:t>
      </w:r>
    </w:p>
    <w:p w:rsidR="006E547D" w:rsidRDefault="006E547D" w:rsidP="00172361">
      <w:pPr>
        <w:pStyle w:val="NumPar1"/>
        <w:numPr>
          <w:ilvl w:val="0"/>
          <w:numId w:val="10"/>
        </w:numPr>
        <w:rPr>
          <w:noProof/>
        </w:rPr>
      </w:pPr>
      <w:r>
        <w:rPr>
          <w:noProof/>
        </w:rPr>
        <w:t>N</w:t>
      </w:r>
      <w:r w:rsidRPr="005D1FB6">
        <w:rPr>
          <w:noProof/>
        </w:rPr>
        <w:t>ational safety authorities</w:t>
      </w:r>
      <w:r w:rsidRPr="00F70E72">
        <w:rPr>
          <w:noProof/>
        </w:rPr>
        <w:t xml:space="preserve"> involved in the supervision </w:t>
      </w:r>
      <w:r>
        <w:rPr>
          <w:noProof/>
        </w:rPr>
        <w:t>of an infrastructure manager</w:t>
      </w:r>
      <w:r w:rsidRPr="00F70E72">
        <w:rPr>
          <w:noProof/>
        </w:rPr>
        <w:t xml:space="preserve"> </w:t>
      </w:r>
      <w:r>
        <w:rPr>
          <w:noProof/>
        </w:rPr>
        <w:t xml:space="preserve">with cross-border infrastructure(s) or </w:t>
      </w:r>
      <w:r w:rsidRPr="00F70E72">
        <w:rPr>
          <w:noProof/>
        </w:rPr>
        <w:t>of a railway undertaking operating in more than one Member State</w:t>
      </w:r>
      <w:r>
        <w:rPr>
          <w:noProof/>
        </w:rPr>
        <w:t xml:space="preserve"> </w:t>
      </w:r>
      <w:r w:rsidRPr="00F70E72">
        <w:rPr>
          <w:noProof/>
        </w:rPr>
        <w:t>shall coordinate their approach to supervi</w:t>
      </w:r>
      <w:r w:rsidRPr="00C82131">
        <w:rPr>
          <w:noProof/>
        </w:rPr>
        <w:t>sion in accordance with Article 17(7) and (9) of Directive (EU) 2016/798</w:t>
      </w:r>
      <w:r w:rsidRPr="00636DF0">
        <w:rPr>
          <w:noProof/>
        </w:rPr>
        <w:t>.</w:t>
      </w:r>
    </w:p>
    <w:p w:rsidR="006E547D" w:rsidRPr="004D68CA" w:rsidRDefault="006E547D" w:rsidP="00A07C5C">
      <w:pPr>
        <w:pStyle w:val="Text1"/>
        <w:rPr>
          <w:noProof/>
        </w:rPr>
      </w:pPr>
      <w:r w:rsidRPr="009C7821">
        <w:rPr>
          <w:noProof/>
        </w:rPr>
        <w:t xml:space="preserve">After the granting of the safety authorisation or single safety certificate, national safety authorities shall promptly decide which of them is to have a leading role for coordinating the supervision of the correct application and effectiveness of the safety management system, without prejudice to the obligations of the national safety authorities under </w:t>
      </w:r>
      <w:r>
        <w:rPr>
          <w:noProof/>
        </w:rPr>
        <w:t xml:space="preserve">points (d) and (j) of </w:t>
      </w:r>
      <w:r w:rsidRPr="009C7821">
        <w:rPr>
          <w:noProof/>
        </w:rPr>
        <w:t>Article 16(2) and Article 17 of Directive (EU) 2016/798.</w:t>
      </w:r>
    </w:p>
    <w:p w:rsidR="006E547D" w:rsidRPr="00636DF0" w:rsidRDefault="006E547D" w:rsidP="00172361">
      <w:pPr>
        <w:pStyle w:val="NumPar1"/>
        <w:numPr>
          <w:ilvl w:val="0"/>
          <w:numId w:val="10"/>
        </w:numPr>
        <w:rPr>
          <w:noProof/>
        </w:rPr>
      </w:pPr>
      <w:r>
        <w:rPr>
          <w:noProof/>
        </w:rPr>
        <w:t>For the purposes of paragraph 1,</w:t>
      </w:r>
      <w:r w:rsidRPr="00F70E72">
        <w:rPr>
          <w:noProof/>
        </w:rPr>
        <w:t xml:space="preserve"> </w:t>
      </w:r>
      <w:r>
        <w:rPr>
          <w:noProof/>
        </w:rPr>
        <w:t>t</w:t>
      </w:r>
      <w:r w:rsidRPr="0055262F">
        <w:rPr>
          <w:noProof/>
        </w:rPr>
        <w:t xml:space="preserve">he </w:t>
      </w:r>
      <w:r w:rsidRPr="007135B0">
        <w:rPr>
          <w:noProof/>
        </w:rPr>
        <w:t>national safety authorities</w:t>
      </w:r>
      <w:r w:rsidRPr="0055262F">
        <w:rPr>
          <w:noProof/>
        </w:rPr>
        <w:t xml:space="preserve"> shall develop arrangements based on the </w:t>
      </w:r>
      <w:r>
        <w:rPr>
          <w:noProof/>
        </w:rPr>
        <w:t>framework for coordinated and joint supervision</w:t>
      </w:r>
      <w:r w:rsidRPr="0055262F">
        <w:rPr>
          <w:noProof/>
        </w:rPr>
        <w:t xml:space="preserve"> </w:t>
      </w:r>
      <w:r>
        <w:rPr>
          <w:noProof/>
        </w:rPr>
        <w:t>set out in Annex II</w:t>
      </w:r>
      <w:r w:rsidRPr="00636DF0">
        <w:rPr>
          <w:noProof/>
        </w:rPr>
        <w:t>.</w:t>
      </w:r>
    </w:p>
    <w:p w:rsidR="006E547D" w:rsidRPr="00677049" w:rsidRDefault="006E547D" w:rsidP="00172361">
      <w:pPr>
        <w:pStyle w:val="NumPar1"/>
        <w:numPr>
          <w:ilvl w:val="0"/>
          <w:numId w:val="10"/>
        </w:numPr>
        <w:rPr>
          <w:noProof/>
        </w:rPr>
      </w:pPr>
      <w:r>
        <w:rPr>
          <w:noProof/>
        </w:rPr>
        <w:t>N</w:t>
      </w:r>
      <w:r w:rsidRPr="007135B0">
        <w:rPr>
          <w:noProof/>
        </w:rPr>
        <w:t>ational safety authorities</w:t>
      </w:r>
      <w:r w:rsidRPr="00F70E72">
        <w:rPr>
          <w:noProof/>
        </w:rPr>
        <w:t xml:space="preserve"> shall </w:t>
      </w:r>
      <w:r>
        <w:rPr>
          <w:noProof/>
        </w:rPr>
        <w:t xml:space="preserve">also </w:t>
      </w:r>
      <w:r w:rsidRPr="00F70E72">
        <w:rPr>
          <w:noProof/>
        </w:rPr>
        <w:t xml:space="preserve">develop cooperation arrangements with </w:t>
      </w:r>
      <w:r>
        <w:rPr>
          <w:noProof/>
        </w:rPr>
        <w:t xml:space="preserve">the </w:t>
      </w:r>
      <w:r w:rsidRPr="00F70E72">
        <w:rPr>
          <w:noProof/>
        </w:rPr>
        <w:t>national investigation bodies, certification bodies for entities in charge of maintenance and other competent authorities</w:t>
      </w:r>
      <w:r>
        <w:rPr>
          <w:noProof/>
        </w:rPr>
        <w:t xml:space="preserve"> or bodies.</w:t>
      </w:r>
    </w:p>
    <w:p w:rsidR="006E547D" w:rsidRDefault="006E547D" w:rsidP="006E547D">
      <w:pPr>
        <w:pStyle w:val="Titrearticle"/>
        <w:rPr>
          <w:noProof/>
        </w:rPr>
      </w:pPr>
      <w:r>
        <w:rPr>
          <w:noProof/>
        </w:rPr>
        <w:t>Article 9</w:t>
      </w:r>
    </w:p>
    <w:p w:rsidR="006E547D" w:rsidRDefault="006E547D" w:rsidP="006E547D">
      <w:pPr>
        <w:pStyle w:val="NormalCentered"/>
        <w:rPr>
          <w:noProof/>
        </w:rPr>
      </w:pPr>
      <w:r w:rsidRPr="004A680F">
        <w:rPr>
          <w:b/>
          <w:bCs/>
          <w:noProof/>
        </w:rPr>
        <w:t>Repeal</w:t>
      </w:r>
    </w:p>
    <w:p w:rsidR="006E547D" w:rsidRDefault="006E547D" w:rsidP="006E547D">
      <w:pPr>
        <w:rPr>
          <w:noProof/>
        </w:rPr>
      </w:pPr>
      <w:r w:rsidRPr="00365281">
        <w:rPr>
          <w:noProof/>
        </w:rPr>
        <w:t>Regulation (EU) No 1077/2012 is repealed with effect from 16 June 2019.</w:t>
      </w:r>
    </w:p>
    <w:p w:rsidR="006E547D" w:rsidRPr="00F70E72" w:rsidRDefault="006E547D" w:rsidP="006E547D">
      <w:pPr>
        <w:pStyle w:val="Titrearticle"/>
        <w:rPr>
          <w:noProof/>
        </w:rPr>
      </w:pPr>
      <w:r w:rsidRPr="00F70E72">
        <w:rPr>
          <w:noProof/>
        </w:rPr>
        <w:t xml:space="preserve">Article </w:t>
      </w:r>
      <w:r>
        <w:rPr>
          <w:noProof/>
        </w:rPr>
        <w:t>10</w:t>
      </w:r>
    </w:p>
    <w:p w:rsidR="006E547D" w:rsidRPr="00F70E72" w:rsidRDefault="006E547D" w:rsidP="006E547D">
      <w:pPr>
        <w:pStyle w:val="NormalCentered"/>
        <w:rPr>
          <w:b/>
          <w:bCs/>
          <w:noProof/>
        </w:rPr>
      </w:pPr>
      <w:r w:rsidRPr="00F70E72">
        <w:rPr>
          <w:b/>
          <w:bCs/>
          <w:noProof/>
        </w:rPr>
        <w:t>Entry into force and application</w:t>
      </w:r>
    </w:p>
    <w:p w:rsidR="006E547D" w:rsidRPr="00365281" w:rsidRDefault="006E547D" w:rsidP="006E547D">
      <w:pPr>
        <w:rPr>
          <w:noProof/>
        </w:rPr>
      </w:pPr>
      <w:r w:rsidRPr="00365281">
        <w:rPr>
          <w:noProof/>
        </w:rPr>
        <w:t xml:space="preserve">This Regulation shall enter into force on the twentieth day following its publication in the </w:t>
      </w:r>
      <w:r w:rsidRPr="00365281">
        <w:rPr>
          <w:i/>
          <w:noProof/>
        </w:rPr>
        <w:t>Official Journal of the European Union</w:t>
      </w:r>
      <w:r w:rsidRPr="00365281">
        <w:rPr>
          <w:noProof/>
        </w:rPr>
        <w:t>.</w:t>
      </w:r>
    </w:p>
    <w:p w:rsidR="006E547D" w:rsidRPr="00F70E72" w:rsidRDefault="006E547D" w:rsidP="006E547D">
      <w:pPr>
        <w:rPr>
          <w:noProof/>
        </w:rPr>
      </w:pPr>
      <w:r w:rsidRPr="00365281">
        <w:rPr>
          <w:noProof/>
        </w:rPr>
        <w:t xml:space="preserve">It shall apply from 16 June 2019. However, Article </w:t>
      </w:r>
      <w:r>
        <w:rPr>
          <w:noProof/>
        </w:rPr>
        <w:t>5</w:t>
      </w:r>
      <w:r w:rsidRPr="00365281">
        <w:rPr>
          <w:noProof/>
        </w:rPr>
        <w:t xml:space="preserve">(2) and Article </w:t>
      </w:r>
      <w:r>
        <w:rPr>
          <w:noProof/>
        </w:rPr>
        <w:t>8(1) and (2)</w:t>
      </w:r>
      <w:r w:rsidRPr="00365281">
        <w:rPr>
          <w:noProof/>
        </w:rPr>
        <w:t xml:space="preserve"> shall apply from 16 June 2020</w:t>
      </w:r>
      <w:r w:rsidRPr="00365281">
        <w:t xml:space="preserve"> </w:t>
      </w:r>
      <w:r w:rsidRPr="00365281">
        <w:rPr>
          <w:noProof/>
        </w:rPr>
        <w:t>in the Member States that have notified the Agency and the Commission in accordance with Article 33(2) of Directive (EU) 2016/798 that they have extended the period for transposition of that Directive.</w:t>
      </w:r>
    </w:p>
    <w:p w:rsidR="006E547D" w:rsidRPr="00F70E72" w:rsidRDefault="006E547D" w:rsidP="006E547D">
      <w:pPr>
        <w:pStyle w:val="Applicationdirecte"/>
        <w:rPr>
          <w:noProof/>
        </w:rPr>
      </w:pPr>
      <w:r w:rsidRPr="00F70E72">
        <w:rPr>
          <w:noProof/>
        </w:rPr>
        <w:t xml:space="preserve">This Regulation shall be binding in its entirety </w:t>
      </w:r>
      <w:r w:rsidRPr="000E36E0">
        <w:rPr>
          <w:noProof/>
        </w:rPr>
        <w:t>and directly applicable in all Member States</w:t>
      </w:r>
      <w:r w:rsidRPr="000225AC">
        <w:rPr>
          <w:i/>
          <w:noProof/>
        </w:rPr>
        <w:t>.</w:t>
      </w:r>
    </w:p>
    <w:p w:rsidR="006E547D" w:rsidRDefault="003852CD" w:rsidP="003852CD">
      <w:pPr>
        <w:pStyle w:val="Fait"/>
      </w:pPr>
      <w:r w:rsidRPr="003852CD">
        <w:t>Done at Brussels,</w:t>
      </w:r>
    </w:p>
    <w:p w:rsidR="006E547D" w:rsidRDefault="006E547D" w:rsidP="006E547D">
      <w:pPr>
        <w:pStyle w:val="Institutionquisigne"/>
      </w:pPr>
      <w:r w:rsidRPr="006E547D">
        <w:tab/>
        <w:t>For the Commission</w:t>
      </w:r>
    </w:p>
    <w:p w:rsidR="006E547D" w:rsidRPr="006E547D" w:rsidRDefault="006E547D" w:rsidP="006E547D">
      <w:pPr>
        <w:pStyle w:val="Personnequisigne"/>
      </w:pPr>
      <w:r w:rsidRPr="006E547D">
        <w:tab/>
        <w:t>The President</w:t>
      </w:r>
      <w:r w:rsidRPr="006E547D">
        <w:br/>
      </w:r>
      <w:r w:rsidRPr="006E547D">
        <w:tab/>
      </w:r>
      <w:r w:rsidR="00A07C5C" w:rsidRPr="00DE03E8">
        <w:t>Jean-Claude Juncker</w:t>
      </w:r>
    </w:p>
    <w:sectPr w:rsidR="006E547D" w:rsidRPr="006E547D" w:rsidSect="00A07C5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7D" w:rsidRDefault="006E547D" w:rsidP="006E547D">
      <w:pPr>
        <w:spacing w:before="0" w:after="0"/>
      </w:pPr>
      <w:r>
        <w:separator/>
      </w:r>
    </w:p>
  </w:endnote>
  <w:endnote w:type="continuationSeparator" w:id="0">
    <w:p w:rsidR="006E547D" w:rsidRDefault="006E547D" w:rsidP="006E54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5C" w:rsidRPr="00A07C5C" w:rsidRDefault="00A07C5C" w:rsidP="00A07C5C">
    <w:pPr>
      <w:pStyle w:val="Footer"/>
      <w:rPr>
        <w:rFonts w:ascii="Arial" w:hAnsi="Arial" w:cs="Arial"/>
        <w:b/>
        <w:sz w:val="48"/>
      </w:rPr>
    </w:pPr>
    <w:r w:rsidRPr="00A07C5C">
      <w:rPr>
        <w:rFonts w:ascii="Arial" w:hAnsi="Arial" w:cs="Arial"/>
        <w:b/>
        <w:sz w:val="48"/>
      </w:rPr>
      <w:t>EN</w:t>
    </w:r>
    <w:r w:rsidRPr="00A07C5C">
      <w:rPr>
        <w:rFonts w:ascii="Arial" w:hAnsi="Arial" w:cs="Arial"/>
        <w:b/>
        <w:sz w:val="48"/>
      </w:rPr>
      <w:tab/>
    </w:r>
    <w:r w:rsidRPr="00A07C5C">
      <w:rPr>
        <w:rFonts w:ascii="Arial" w:hAnsi="Arial" w:cs="Arial"/>
        <w:b/>
        <w:sz w:val="48"/>
      </w:rPr>
      <w:tab/>
    </w:r>
    <w:r w:rsidR="00172361">
      <w:fldChar w:fldCharType="begin"/>
    </w:r>
    <w:r w:rsidR="00172361">
      <w:instrText xml:space="preserve"> DOCVARIABLE "LW_Confidence" \* MERGEFORMAT </w:instrText>
    </w:r>
    <w:r w:rsidR="00172361">
      <w:fldChar w:fldCharType="separate"/>
    </w:r>
    <w:r>
      <w:t xml:space="preserve"> </w:t>
    </w:r>
    <w:r w:rsidR="00172361">
      <w:fldChar w:fldCharType="end"/>
    </w:r>
    <w:r w:rsidRPr="00A07C5C">
      <w:tab/>
    </w:r>
    <w:r w:rsidRPr="00A07C5C">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5C" w:rsidRPr="00A07C5C" w:rsidRDefault="00A07C5C" w:rsidP="00A07C5C">
    <w:pPr>
      <w:pStyle w:val="Footer"/>
      <w:rPr>
        <w:rFonts w:ascii="Arial" w:hAnsi="Arial" w:cs="Arial"/>
        <w:b/>
        <w:sz w:val="48"/>
      </w:rPr>
    </w:pPr>
    <w:r w:rsidRPr="00A07C5C">
      <w:rPr>
        <w:rFonts w:ascii="Arial" w:hAnsi="Arial" w:cs="Arial"/>
        <w:b/>
        <w:sz w:val="48"/>
      </w:rPr>
      <w:t>EN</w:t>
    </w:r>
    <w:r w:rsidRPr="00A07C5C">
      <w:rPr>
        <w:rFonts w:ascii="Arial" w:hAnsi="Arial" w:cs="Arial"/>
        <w:b/>
        <w:sz w:val="48"/>
      </w:rPr>
      <w:tab/>
    </w:r>
    <w:r>
      <w:fldChar w:fldCharType="begin"/>
    </w:r>
    <w:r>
      <w:instrText xml:space="preserve"> PAGE  \* MERGEFORMAT </w:instrText>
    </w:r>
    <w:r>
      <w:fldChar w:fldCharType="separate"/>
    </w:r>
    <w:r w:rsidR="00172361">
      <w:rPr>
        <w:noProof/>
      </w:rPr>
      <w:t>2</w:t>
    </w:r>
    <w:r>
      <w:fldChar w:fldCharType="end"/>
    </w:r>
    <w:r>
      <w:tab/>
    </w:r>
    <w:r w:rsidR="00172361">
      <w:fldChar w:fldCharType="begin"/>
    </w:r>
    <w:r w:rsidR="00172361">
      <w:instrText xml:space="preserve"> DOCVARIABLE "LW_Confidence" \* MERGEFORMAT </w:instrText>
    </w:r>
    <w:r w:rsidR="00172361">
      <w:fldChar w:fldCharType="separate"/>
    </w:r>
    <w:r>
      <w:t xml:space="preserve"> </w:t>
    </w:r>
    <w:r w:rsidR="00172361">
      <w:fldChar w:fldCharType="end"/>
    </w:r>
    <w:r w:rsidRPr="00A07C5C">
      <w:tab/>
    </w:r>
    <w:r w:rsidRPr="00A07C5C">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5C" w:rsidRDefault="00A07C5C" w:rsidP="00A0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7D" w:rsidRDefault="006E547D" w:rsidP="006E547D">
      <w:pPr>
        <w:spacing w:before="0" w:after="0"/>
      </w:pPr>
      <w:r>
        <w:separator/>
      </w:r>
    </w:p>
  </w:footnote>
  <w:footnote w:type="continuationSeparator" w:id="0">
    <w:p w:rsidR="006E547D" w:rsidRDefault="006E547D" w:rsidP="006E547D">
      <w:pPr>
        <w:spacing w:before="0" w:after="0"/>
      </w:pPr>
      <w:r>
        <w:continuationSeparator/>
      </w:r>
    </w:p>
  </w:footnote>
  <w:footnote w:id="1">
    <w:p w:rsidR="006E547D" w:rsidRPr="00587E5C" w:rsidRDefault="006E547D" w:rsidP="006E547D">
      <w:pPr>
        <w:pStyle w:val="FootnoteText"/>
      </w:pPr>
      <w:r w:rsidRPr="000A3C40">
        <w:rPr>
          <w:rStyle w:val="FootnoteReference"/>
        </w:rPr>
        <w:footnoteRef/>
      </w:r>
      <w:r w:rsidRPr="00587E5C">
        <w:tab/>
        <w:t>OJ L 138, 26.5.2016, p. 102.</w:t>
      </w:r>
    </w:p>
  </w:footnote>
  <w:footnote w:id="2">
    <w:p w:rsidR="006E547D" w:rsidRPr="00F26FEC" w:rsidRDefault="006E547D" w:rsidP="006E547D">
      <w:pPr>
        <w:pStyle w:val="FootnoteText"/>
      </w:pPr>
      <w:r w:rsidRPr="00A07C5C">
        <w:rPr>
          <w:rStyle w:val="FootnoteReference"/>
        </w:rPr>
        <w:footnoteRef/>
      </w:r>
      <w:r w:rsidR="00A07C5C">
        <w:tab/>
      </w:r>
      <w:r>
        <w:t>Commission Implementing Decision of 1 September 2016 on a mandate to the European Union Agency for Railways for the revision of the common safety methods for conformity assessment and the common safety method for supervision and repealing Implementing Decision C(2014) 1649 final (</w:t>
      </w:r>
      <w:r w:rsidRPr="005D2F65">
        <w:t>C(2016) 5504 final</w:t>
      </w:r>
      <w:r>
        <w:t>).</w:t>
      </w:r>
    </w:p>
  </w:footnote>
  <w:footnote w:id="3">
    <w:p w:rsidR="006E547D" w:rsidRPr="00587E5C" w:rsidRDefault="006E547D" w:rsidP="006E547D">
      <w:pPr>
        <w:pStyle w:val="FootnoteText"/>
      </w:pPr>
      <w:r w:rsidRPr="000A3C40">
        <w:rPr>
          <w:rStyle w:val="FootnoteReference"/>
        </w:rPr>
        <w:footnoteRef/>
      </w:r>
      <w:r w:rsidRPr="00587E5C">
        <w:tab/>
      </w:r>
      <w:r w:rsidRPr="00F907EA">
        <w:t xml:space="preserve">Commission Regulation (EU) No 1158/2010 of 9 December 2010 on a common safety method for assessing conformity with the requirements for obtaining railway safety certificates </w:t>
      </w:r>
      <w:r>
        <w:t>(</w:t>
      </w:r>
      <w:r w:rsidRPr="00587E5C">
        <w:t>OJ L 326, 10.12.2010, p. 11</w:t>
      </w:r>
      <w:r>
        <w:t>)</w:t>
      </w:r>
      <w:r w:rsidRPr="00587E5C">
        <w:t>.</w:t>
      </w:r>
    </w:p>
  </w:footnote>
  <w:footnote w:id="4">
    <w:p w:rsidR="006E547D" w:rsidRPr="00A523B5" w:rsidRDefault="006E547D" w:rsidP="006E547D">
      <w:pPr>
        <w:pStyle w:val="FootnoteText"/>
      </w:pPr>
      <w:r w:rsidRPr="000A3C40">
        <w:rPr>
          <w:rStyle w:val="FootnoteReference"/>
        </w:rPr>
        <w:footnoteRef/>
      </w:r>
      <w:r w:rsidRPr="00A523B5">
        <w:tab/>
      </w:r>
      <w:r w:rsidRPr="00F907EA">
        <w:t xml:space="preserve">Commission Regulation (EU) No 1169/2010 of 10 December 2010 on a common safety method for assessing conformity with the requirements for obtaining a railway safety authorisation </w:t>
      </w:r>
      <w:r>
        <w:t>(</w:t>
      </w:r>
      <w:r w:rsidRPr="00A523B5">
        <w:t>OJ L 327, 11.12.2010, p.13</w:t>
      </w:r>
      <w:r>
        <w:t>)</w:t>
      </w:r>
      <w:r w:rsidRPr="00A523B5">
        <w:t>.</w:t>
      </w:r>
    </w:p>
  </w:footnote>
  <w:footnote w:id="5">
    <w:p w:rsidR="006E547D" w:rsidRPr="003B0CFB" w:rsidRDefault="006E547D" w:rsidP="006E547D">
      <w:pPr>
        <w:pStyle w:val="FootnoteText"/>
      </w:pPr>
      <w:r w:rsidRPr="000A3C40">
        <w:rPr>
          <w:rStyle w:val="FootnoteReference"/>
        </w:rPr>
        <w:footnoteRef/>
      </w:r>
      <w:r>
        <w:tab/>
      </w:r>
      <w:r w:rsidRPr="001E1717">
        <w:t xml:space="preserve">Commission Regulation (EU) No 1077/2012 of 16 November 2012 on a common safety method for supervision by national safety authorities after issuing a safety certificate or safety authorisation </w:t>
      </w:r>
      <w:r>
        <w:t>(</w:t>
      </w:r>
      <w:r w:rsidRPr="003B0CFB">
        <w:t>OJ L 320, 17.11.2012, p. 3</w:t>
      </w:r>
      <w:r>
        <w:t>)</w:t>
      </w:r>
      <w:r w:rsidRPr="003B0CFB">
        <w:t>.</w:t>
      </w:r>
    </w:p>
  </w:footnote>
  <w:footnote w:id="6">
    <w:p w:rsidR="006E547D" w:rsidRPr="00D44DC9" w:rsidRDefault="006E547D" w:rsidP="006E547D">
      <w:pPr>
        <w:pStyle w:val="FootnoteText"/>
      </w:pPr>
      <w:r w:rsidRPr="000A3C40">
        <w:rPr>
          <w:rStyle w:val="FootnoteReference"/>
        </w:rPr>
        <w:footnoteRef/>
      </w:r>
      <w:r>
        <w:tab/>
      </w:r>
      <w:r w:rsidRPr="00321B10">
        <w:t xml:space="preserve">Directive 2012/34/EU of the European Parliament and of the Council of 21 November 2012 establishing a single European railway area </w:t>
      </w:r>
      <w:r>
        <w:t>(</w:t>
      </w:r>
      <w:r w:rsidRPr="00D44DC9">
        <w:t xml:space="preserve">OJ L </w:t>
      </w:r>
      <w:r>
        <w:t>343, 14.12.2012</w:t>
      </w:r>
      <w:r w:rsidRPr="00D44DC9">
        <w:t xml:space="preserve">, p. </w:t>
      </w:r>
      <w:r>
        <w:t>32)</w:t>
      </w:r>
      <w:r w:rsidRPr="00D44DC9">
        <w:t>.</w:t>
      </w:r>
    </w:p>
  </w:footnote>
  <w:footnote w:id="7">
    <w:p w:rsidR="006E547D" w:rsidRPr="00C823EF" w:rsidRDefault="006E547D" w:rsidP="006E547D">
      <w:pPr>
        <w:pStyle w:val="FootnoteText"/>
      </w:pPr>
      <w:r w:rsidRPr="00A07C5C">
        <w:rPr>
          <w:rStyle w:val="FootnoteReference"/>
        </w:rPr>
        <w:footnoteRef/>
      </w:r>
      <w:r w:rsidR="00A07C5C">
        <w:tab/>
      </w:r>
      <w:r w:rsidRPr="00C823EF">
        <w:t>Directive 2004/49/EC of 29 April 2004 of the European Parliament and of the Council on safety of the Community’s railways and amending Council Directive 95/18/EC on the licensing of railway undertakings and Directive 2001/14/EC on the allocation of railway infrastructure capacity and the levying of charges for the use of railway infrastructure and safety certification (Railway safety Directive) (OJ L 164, 30.4.2004 p. 44).</w:t>
      </w:r>
    </w:p>
  </w:footnote>
  <w:footnote w:id="8">
    <w:p w:rsidR="006E547D" w:rsidRDefault="006E547D" w:rsidP="006E547D">
      <w:pPr>
        <w:pStyle w:val="FootnoteText"/>
      </w:pPr>
      <w:r>
        <w:rPr>
          <w:rStyle w:val="FootnoteReference"/>
        </w:rPr>
        <w:footnoteRef/>
      </w:r>
      <w:r>
        <w:tab/>
      </w:r>
      <w:r>
        <w:rPr>
          <w:noProof/>
        </w:rPr>
        <w:t>Commission Delegated Regulation (EU) No ../.. of .. establishing common safety methods on safety management system requirements pursuant to Directive (EU) 2016/798 of the European Parliament and of the Council  and repealing Commission Regulations (EU) No 1158/2010 and (EU) No 1169/2010 (</w:t>
      </w:r>
      <w:r>
        <w:t>OJ L […], […], 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8476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36CA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37EF2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8E5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9C08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A6866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30EA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35A8E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2"/>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4"/>
  </w:num>
  <w:num w:numId="14">
    <w:abstractNumId w:val="6"/>
  </w:num>
  <w:num w:numId="15">
    <w:abstractNumId w:val="2"/>
  </w:num>
  <w:num w:numId="16">
    <w:abstractNumId w:val="1"/>
  </w:num>
  <w:num w:numId="17">
    <w:abstractNumId w:val="0"/>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6 15:18: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VERPAGE_GUID" w:val="8227582D915848338B33602705AC4E24"/>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OUS.TITRE.OBJ.CP" w:val="&lt;UNUSED&gt;"/>
    <w:docVar w:name="LW_SUPERTITRE" w:val="&lt;UNUSED&gt;"/>
    <w:docVar w:name="LW_TITRE.OBJ.CP" w:val="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
    <w:docVar w:name="LW_TYPE.DOC.CP" w:val="COMMISSION DELEGATED REGULATION (EU) \u8230?/..."/>
  </w:docVars>
  <w:rsids>
    <w:rsidRoot w:val="006E547D"/>
    <w:rsid w:val="000D3B73"/>
    <w:rsid w:val="00171635"/>
    <w:rsid w:val="00172361"/>
    <w:rsid w:val="002C7919"/>
    <w:rsid w:val="0034445E"/>
    <w:rsid w:val="003852CD"/>
    <w:rsid w:val="003C33DE"/>
    <w:rsid w:val="00430266"/>
    <w:rsid w:val="00673264"/>
    <w:rsid w:val="006E547D"/>
    <w:rsid w:val="00715D61"/>
    <w:rsid w:val="007D53B6"/>
    <w:rsid w:val="008E2281"/>
    <w:rsid w:val="00A07C5C"/>
    <w:rsid w:val="00B04DCA"/>
    <w:rsid w:val="00B44CFD"/>
    <w:rsid w:val="00C120E1"/>
    <w:rsid w:val="00F8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7D"/>
    <w:rPr>
      <w:rFonts w:ascii="Tahoma" w:hAnsi="Tahoma" w:cs="Tahoma"/>
      <w:sz w:val="16"/>
      <w:szCs w:val="16"/>
      <w:lang w:val="en-GB"/>
    </w:rPr>
  </w:style>
  <w:style w:type="paragraph" w:styleId="ListBullet4">
    <w:name w:val="List Bullet 4"/>
    <w:basedOn w:val="Normal"/>
    <w:uiPriority w:val="99"/>
    <w:semiHidden/>
    <w:unhideWhenUsed/>
    <w:rsid w:val="006E547D"/>
    <w:pPr>
      <w:numPr>
        <w:numId w:val="1"/>
      </w:numPr>
      <w:contextualSpacing/>
    </w:pPr>
  </w:style>
  <w:style w:type="character" w:styleId="CommentReference">
    <w:name w:val="annotation reference"/>
    <w:basedOn w:val="DefaultParagraphFont"/>
    <w:uiPriority w:val="99"/>
    <w:semiHidden/>
    <w:unhideWhenUsed/>
    <w:rsid w:val="006E547D"/>
    <w:rPr>
      <w:sz w:val="16"/>
      <w:szCs w:val="16"/>
    </w:rPr>
  </w:style>
  <w:style w:type="paragraph" w:styleId="CommentText">
    <w:name w:val="annotation text"/>
    <w:basedOn w:val="Normal"/>
    <w:link w:val="CommentTextChar"/>
    <w:uiPriority w:val="99"/>
    <w:semiHidden/>
    <w:unhideWhenUsed/>
    <w:rsid w:val="006E547D"/>
    <w:rPr>
      <w:sz w:val="20"/>
      <w:szCs w:val="20"/>
    </w:rPr>
  </w:style>
  <w:style w:type="character" w:customStyle="1" w:styleId="CommentTextChar">
    <w:name w:val="Comment Text Char"/>
    <w:basedOn w:val="DefaultParagraphFont"/>
    <w:link w:val="CommentText"/>
    <w:uiPriority w:val="99"/>
    <w:semiHidden/>
    <w:rsid w:val="006E547D"/>
    <w:rPr>
      <w:rFonts w:ascii="Times New Roman" w:hAnsi="Times New Roman" w:cs="Times New Roman"/>
      <w:sz w:val="20"/>
      <w:szCs w:val="20"/>
      <w:lang w:val="en-GB"/>
    </w:rPr>
  </w:style>
  <w:style w:type="character" w:styleId="Hyperlink">
    <w:name w:val="Hyperlink"/>
    <w:basedOn w:val="DefaultParagraphFont"/>
    <w:uiPriority w:val="99"/>
    <w:unhideWhenUsed/>
    <w:rsid w:val="006E547D"/>
    <w:rPr>
      <w:color w:val="0000FF" w:themeColor="hyperlink"/>
      <w:u w:val="single"/>
    </w:rPr>
  </w:style>
  <w:style w:type="paragraph" w:styleId="Caption">
    <w:name w:val="caption"/>
    <w:basedOn w:val="Normal"/>
    <w:next w:val="Normal"/>
    <w:uiPriority w:val="35"/>
    <w:semiHidden/>
    <w:unhideWhenUsed/>
    <w:qFormat/>
    <w:rsid w:val="002C791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2C7919"/>
    <w:pPr>
      <w:spacing w:after="0"/>
    </w:pPr>
  </w:style>
  <w:style w:type="paragraph" w:styleId="ListBullet">
    <w:name w:val="List Bullet"/>
    <w:basedOn w:val="Normal"/>
    <w:uiPriority w:val="99"/>
    <w:semiHidden/>
    <w:unhideWhenUsed/>
    <w:rsid w:val="002C7919"/>
    <w:pPr>
      <w:numPr>
        <w:numId w:val="11"/>
      </w:numPr>
      <w:contextualSpacing/>
    </w:pPr>
  </w:style>
  <w:style w:type="paragraph" w:styleId="ListBullet2">
    <w:name w:val="List Bullet 2"/>
    <w:basedOn w:val="Normal"/>
    <w:uiPriority w:val="99"/>
    <w:semiHidden/>
    <w:unhideWhenUsed/>
    <w:rsid w:val="002C7919"/>
    <w:pPr>
      <w:numPr>
        <w:numId w:val="12"/>
      </w:numPr>
      <w:contextualSpacing/>
    </w:pPr>
  </w:style>
  <w:style w:type="paragraph" w:styleId="ListBullet3">
    <w:name w:val="List Bullet 3"/>
    <w:basedOn w:val="Normal"/>
    <w:uiPriority w:val="99"/>
    <w:semiHidden/>
    <w:unhideWhenUsed/>
    <w:rsid w:val="002C7919"/>
    <w:pPr>
      <w:numPr>
        <w:numId w:val="13"/>
      </w:numPr>
      <w:contextualSpacing/>
    </w:pPr>
  </w:style>
  <w:style w:type="paragraph" w:styleId="ListNumber">
    <w:name w:val="List Number"/>
    <w:basedOn w:val="Normal"/>
    <w:uiPriority w:val="99"/>
    <w:semiHidden/>
    <w:unhideWhenUsed/>
    <w:rsid w:val="002C7919"/>
    <w:pPr>
      <w:numPr>
        <w:numId w:val="14"/>
      </w:numPr>
      <w:contextualSpacing/>
    </w:pPr>
  </w:style>
  <w:style w:type="paragraph" w:styleId="ListNumber2">
    <w:name w:val="List Number 2"/>
    <w:basedOn w:val="Normal"/>
    <w:uiPriority w:val="99"/>
    <w:semiHidden/>
    <w:unhideWhenUsed/>
    <w:rsid w:val="002C7919"/>
    <w:pPr>
      <w:numPr>
        <w:numId w:val="15"/>
      </w:numPr>
      <w:contextualSpacing/>
    </w:pPr>
  </w:style>
  <w:style w:type="paragraph" w:styleId="ListNumber3">
    <w:name w:val="List Number 3"/>
    <w:basedOn w:val="Normal"/>
    <w:uiPriority w:val="99"/>
    <w:semiHidden/>
    <w:unhideWhenUsed/>
    <w:rsid w:val="002C7919"/>
    <w:pPr>
      <w:numPr>
        <w:numId w:val="16"/>
      </w:numPr>
      <w:contextualSpacing/>
    </w:pPr>
  </w:style>
  <w:style w:type="paragraph" w:styleId="ListNumber4">
    <w:name w:val="List Number 4"/>
    <w:basedOn w:val="Normal"/>
    <w:uiPriority w:val="99"/>
    <w:semiHidden/>
    <w:unhideWhenUsed/>
    <w:rsid w:val="002C7919"/>
    <w:pPr>
      <w:numPr>
        <w:numId w:val="17"/>
      </w:numPr>
      <w:contextualSpacing/>
    </w:pPr>
  </w:style>
  <w:style w:type="paragraph" w:styleId="CommentSubject">
    <w:name w:val="annotation subject"/>
    <w:basedOn w:val="CommentText"/>
    <w:next w:val="CommentText"/>
    <w:link w:val="CommentSubjectChar"/>
    <w:uiPriority w:val="99"/>
    <w:semiHidden/>
    <w:unhideWhenUsed/>
    <w:rsid w:val="00A07C5C"/>
    <w:rPr>
      <w:b/>
      <w:bCs/>
    </w:rPr>
  </w:style>
  <w:style w:type="character" w:customStyle="1" w:styleId="CommentSubjectChar">
    <w:name w:val="Comment Subject Char"/>
    <w:basedOn w:val="CommentTextChar"/>
    <w:link w:val="CommentSubject"/>
    <w:uiPriority w:val="99"/>
    <w:semiHidden/>
    <w:rsid w:val="00A07C5C"/>
    <w:rPr>
      <w:rFonts w:ascii="Times New Roman" w:hAnsi="Times New Roman" w:cs="Times New Roman"/>
      <w:b/>
      <w:bCs/>
      <w:sz w:val="20"/>
      <w:szCs w:val="20"/>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7D"/>
    <w:rPr>
      <w:rFonts w:ascii="Tahoma" w:hAnsi="Tahoma" w:cs="Tahoma"/>
      <w:sz w:val="16"/>
      <w:szCs w:val="16"/>
      <w:lang w:val="en-GB"/>
    </w:rPr>
  </w:style>
  <w:style w:type="paragraph" w:styleId="ListBullet4">
    <w:name w:val="List Bullet 4"/>
    <w:basedOn w:val="Normal"/>
    <w:uiPriority w:val="99"/>
    <w:semiHidden/>
    <w:unhideWhenUsed/>
    <w:rsid w:val="006E547D"/>
    <w:pPr>
      <w:numPr>
        <w:numId w:val="1"/>
      </w:numPr>
      <w:contextualSpacing/>
    </w:pPr>
  </w:style>
  <w:style w:type="character" w:styleId="CommentReference">
    <w:name w:val="annotation reference"/>
    <w:basedOn w:val="DefaultParagraphFont"/>
    <w:uiPriority w:val="99"/>
    <w:semiHidden/>
    <w:unhideWhenUsed/>
    <w:rsid w:val="006E547D"/>
    <w:rPr>
      <w:sz w:val="16"/>
      <w:szCs w:val="16"/>
    </w:rPr>
  </w:style>
  <w:style w:type="paragraph" w:styleId="CommentText">
    <w:name w:val="annotation text"/>
    <w:basedOn w:val="Normal"/>
    <w:link w:val="CommentTextChar"/>
    <w:uiPriority w:val="99"/>
    <w:semiHidden/>
    <w:unhideWhenUsed/>
    <w:rsid w:val="006E547D"/>
    <w:rPr>
      <w:sz w:val="20"/>
      <w:szCs w:val="20"/>
    </w:rPr>
  </w:style>
  <w:style w:type="character" w:customStyle="1" w:styleId="CommentTextChar">
    <w:name w:val="Comment Text Char"/>
    <w:basedOn w:val="DefaultParagraphFont"/>
    <w:link w:val="CommentText"/>
    <w:uiPriority w:val="99"/>
    <w:semiHidden/>
    <w:rsid w:val="006E547D"/>
    <w:rPr>
      <w:rFonts w:ascii="Times New Roman" w:hAnsi="Times New Roman" w:cs="Times New Roman"/>
      <w:sz w:val="20"/>
      <w:szCs w:val="20"/>
      <w:lang w:val="en-GB"/>
    </w:rPr>
  </w:style>
  <w:style w:type="character" w:styleId="Hyperlink">
    <w:name w:val="Hyperlink"/>
    <w:basedOn w:val="DefaultParagraphFont"/>
    <w:uiPriority w:val="99"/>
    <w:unhideWhenUsed/>
    <w:rsid w:val="006E547D"/>
    <w:rPr>
      <w:color w:val="0000FF" w:themeColor="hyperlink"/>
      <w:u w:val="single"/>
    </w:rPr>
  </w:style>
  <w:style w:type="paragraph" w:styleId="Caption">
    <w:name w:val="caption"/>
    <w:basedOn w:val="Normal"/>
    <w:next w:val="Normal"/>
    <w:uiPriority w:val="35"/>
    <w:semiHidden/>
    <w:unhideWhenUsed/>
    <w:qFormat/>
    <w:rsid w:val="002C791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2C7919"/>
    <w:pPr>
      <w:spacing w:after="0"/>
    </w:pPr>
  </w:style>
  <w:style w:type="paragraph" w:styleId="ListBullet">
    <w:name w:val="List Bullet"/>
    <w:basedOn w:val="Normal"/>
    <w:uiPriority w:val="99"/>
    <w:semiHidden/>
    <w:unhideWhenUsed/>
    <w:rsid w:val="002C7919"/>
    <w:pPr>
      <w:numPr>
        <w:numId w:val="11"/>
      </w:numPr>
      <w:contextualSpacing/>
    </w:pPr>
  </w:style>
  <w:style w:type="paragraph" w:styleId="ListBullet2">
    <w:name w:val="List Bullet 2"/>
    <w:basedOn w:val="Normal"/>
    <w:uiPriority w:val="99"/>
    <w:semiHidden/>
    <w:unhideWhenUsed/>
    <w:rsid w:val="002C7919"/>
    <w:pPr>
      <w:numPr>
        <w:numId w:val="12"/>
      </w:numPr>
      <w:contextualSpacing/>
    </w:pPr>
  </w:style>
  <w:style w:type="paragraph" w:styleId="ListBullet3">
    <w:name w:val="List Bullet 3"/>
    <w:basedOn w:val="Normal"/>
    <w:uiPriority w:val="99"/>
    <w:semiHidden/>
    <w:unhideWhenUsed/>
    <w:rsid w:val="002C7919"/>
    <w:pPr>
      <w:numPr>
        <w:numId w:val="13"/>
      </w:numPr>
      <w:contextualSpacing/>
    </w:pPr>
  </w:style>
  <w:style w:type="paragraph" w:styleId="ListNumber">
    <w:name w:val="List Number"/>
    <w:basedOn w:val="Normal"/>
    <w:uiPriority w:val="99"/>
    <w:semiHidden/>
    <w:unhideWhenUsed/>
    <w:rsid w:val="002C7919"/>
    <w:pPr>
      <w:numPr>
        <w:numId w:val="14"/>
      </w:numPr>
      <w:contextualSpacing/>
    </w:pPr>
  </w:style>
  <w:style w:type="paragraph" w:styleId="ListNumber2">
    <w:name w:val="List Number 2"/>
    <w:basedOn w:val="Normal"/>
    <w:uiPriority w:val="99"/>
    <w:semiHidden/>
    <w:unhideWhenUsed/>
    <w:rsid w:val="002C7919"/>
    <w:pPr>
      <w:numPr>
        <w:numId w:val="15"/>
      </w:numPr>
      <w:contextualSpacing/>
    </w:pPr>
  </w:style>
  <w:style w:type="paragraph" w:styleId="ListNumber3">
    <w:name w:val="List Number 3"/>
    <w:basedOn w:val="Normal"/>
    <w:uiPriority w:val="99"/>
    <w:semiHidden/>
    <w:unhideWhenUsed/>
    <w:rsid w:val="002C7919"/>
    <w:pPr>
      <w:numPr>
        <w:numId w:val="16"/>
      </w:numPr>
      <w:contextualSpacing/>
    </w:pPr>
  </w:style>
  <w:style w:type="paragraph" w:styleId="ListNumber4">
    <w:name w:val="List Number 4"/>
    <w:basedOn w:val="Normal"/>
    <w:uiPriority w:val="99"/>
    <w:semiHidden/>
    <w:unhideWhenUsed/>
    <w:rsid w:val="002C7919"/>
    <w:pPr>
      <w:numPr>
        <w:numId w:val="17"/>
      </w:numPr>
      <w:contextualSpacing/>
    </w:pPr>
  </w:style>
  <w:style w:type="paragraph" w:styleId="CommentSubject">
    <w:name w:val="annotation subject"/>
    <w:basedOn w:val="CommentText"/>
    <w:next w:val="CommentText"/>
    <w:link w:val="CommentSubjectChar"/>
    <w:uiPriority w:val="99"/>
    <w:semiHidden/>
    <w:unhideWhenUsed/>
    <w:rsid w:val="00A07C5C"/>
    <w:rPr>
      <w:b/>
      <w:bCs/>
    </w:rPr>
  </w:style>
  <w:style w:type="character" w:customStyle="1" w:styleId="CommentSubjectChar">
    <w:name w:val="Comment Subject Char"/>
    <w:basedOn w:val="CommentTextChar"/>
    <w:link w:val="CommentSubject"/>
    <w:uiPriority w:val="99"/>
    <w:semiHidden/>
    <w:rsid w:val="00A07C5C"/>
    <w:rPr>
      <w:rFonts w:ascii="Times New Roman" w:hAnsi="Times New Roman" w:cs="Times New Roman"/>
      <w:b/>
      <w:bCs/>
      <w:sz w:val="20"/>
      <w:szCs w:val="20"/>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3</Pages>
  <Words>2669</Words>
  <Characters>15340</Characters>
  <Application>Microsoft Office Word</Application>
  <DocSecurity>0</DocSecurity>
  <Lines>266</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 Solange (MOVE)</dc:creator>
  <cp:lastModifiedBy>COLET Solange (MOVE)</cp:lastModifiedBy>
  <cp:revision>3</cp:revision>
  <dcterms:created xsi:type="dcterms:W3CDTF">2017-10-06T13:18:00Z</dcterms:created>
  <dcterms:modified xsi:type="dcterms:W3CDTF">2017-10-06T13:18:00Z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SJ-003</vt:lpwstr>
  </property>
  <property fmtid="{D5CDD505-2E9C-101B-9397-08002B2CF9AE}" pid="10" name="DQCStatus">
    <vt:lpwstr>Green (DQC version 03)</vt:lpwstr>
  </property>
</Properties>
</file>