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F8E7" w14:textId="77777777" w:rsidR="006D7308" w:rsidRPr="00114D92" w:rsidRDefault="006D7308">
      <w:pPr>
        <w:pStyle w:val="Tekstpodstawowy"/>
        <w:spacing w:before="4"/>
      </w:pPr>
    </w:p>
    <w:p w14:paraId="6A59717C" w14:textId="77777777" w:rsidR="006D7308" w:rsidRPr="00E3287D" w:rsidRDefault="00114D92">
      <w:pPr>
        <w:pStyle w:val="Nagwek2"/>
        <w:spacing w:before="90"/>
        <w:ind w:left="775"/>
        <w:rPr>
          <w:sz w:val="24"/>
          <w:szCs w:val="24"/>
        </w:rPr>
      </w:pPr>
      <w:bookmarkStart w:id="0" w:name="20180101_A05_EN"/>
      <w:bookmarkEnd w:id="0"/>
      <w:r w:rsidRPr="00E3287D">
        <w:rPr>
          <w:color w:val="010202"/>
          <w:sz w:val="24"/>
          <w:szCs w:val="24"/>
        </w:rPr>
        <w:t>ZAŁĄCZNIK NR 5</w:t>
      </w:r>
    </w:p>
    <w:p w14:paraId="04638B66" w14:textId="77777777" w:rsidR="006D7308" w:rsidRPr="00E3287D" w:rsidRDefault="00E3287D">
      <w:pPr>
        <w:spacing w:before="6"/>
        <w:ind w:left="777" w:right="835"/>
        <w:jc w:val="center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57C55B" wp14:editId="303B1BE9">
                <wp:simplePos x="0" y="0"/>
                <wp:positionH relativeFrom="page">
                  <wp:posOffset>862965</wp:posOffset>
                </wp:positionH>
                <wp:positionV relativeFrom="paragraph">
                  <wp:posOffset>304165</wp:posOffset>
                </wp:positionV>
                <wp:extent cx="6086475" cy="389890"/>
                <wp:effectExtent l="5715" t="11430" r="13335" b="8255"/>
                <wp:wrapTopAndBottom/>
                <wp:docPr id="2" name="Text Box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9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2C113" w14:textId="77777777" w:rsidR="006D7308" w:rsidRPr="00E3287D" w:rsidRDefault="00114D92" w:rsidP="00114D92">
                            <w:pPr>
                              <w:spacing w:before="25" w:line="235" w:lineRule="auto"/>
                              <w:ind w:left="284" w:right="288" w:firstLine="1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87D">
                              <w:rPr>
                                <w:b/>
                                <w:color w:val="010202"/>
                                <w:sz w:val="24"/>
                                <w:szCs w:val="24"/>
                              </w:rPr>
                              <w:t>OBLICZANIE ODSZKODOWANIA DLA WAGONU LUB WÓZKA W PRZYPADKU ZAGUBIENIA LUB USZKODZENIA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7C55B" id="_x0000_t202" coordsize="21600,21600" o:spt="202" path="m,l,21600r21600,l21600,xe">
                <v:stroke joinstyle="miter"/>
                <v:path gradientshapeok="t" o:connecttype="rect"/>
              </v:shapetype>
              <v:shape id="Text Box 1676" o:spid="_x0000_s1026" type="#_x0000_t202" style="position:absolute;left:0;text-align:left;margin-left:67.95pt;margin-top:23.95pt;width:479.25pt;height:30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" filled="f" strokecolor="#a6a6a6" strokeweight=".48pt">
                <v:textbox inset="0,0,0,0">
                  <w:txbxContent>
                    <w:p w14:paraId="7552C113" w14:textId="77777777" w:rsidR="006D7308" w:rsidRPr="00E3287D" w:rsidRDefault="00114D92" w:rsidP="00114D92">
                      <w:pPr>
                        <w:spacing w:before="25" w:line="235" w:lineRule="auto"/>
                        <w:ind w:left="284" w:right="288" w:firstLine="1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87D">
                        <w:rPr>
                          <w:b/>
                          <w:color w:val="010202"/>
                          <w:sz w:val="24"/>
                          <w:szCs w:val="24"/>
                        </w:rPr>
                        <w:t>OBLICZANIE ODSZKODOWANIA DLA WAGONU LUB WÓZKA W PRZYPADKU ZAGUBIENIA LUB USZKODZENIA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4D92" w:rsidRPr="00E3287D">
        <w:rPr>
          <w:b/>
          <w:color w:val="010202"/>
          <w:sz w:val="24"/>
          <w:szCs w:val="24"/>
        </w:rPr>
        <w:t xml:space="preserve">DO OGÓLNEJ UMOWY O </w:t>
      </w:r>
      <w:r w:rsidR="00114D92" w:rsidRPr="00E3287D">
        <w:rPr>
          <w:b/>
          <w:sz w:val="24"/>
          <w:szCs w:val="24"/>
        </w:rPr>
        <w:t>UŻYTKOWANI</w:t>
      </w:r>
      <w:r w:rsidR="00DB657F" w:rsidRPr="00E3287D">
        <w:rPr>
          <w:b/>
          <w:sz w:val="24"/>
          <w:szCs w:val="24"/>
        </w:rPr>
        <w:t>U</w:t>
      </w:r>
      <w:r w:rsidR="005E100E" w:rsidRPr="00E3287D">
        <w:rPr>
          <w:b/>
          <w:sz w:val="24"/>
          <w:szCs w:val="24"/>
        </w:rPr>
        <w:t xml:space="preserve"> WAGONÓW TOWAROWYCH</w:t>
      </w:r>
    </w:p>
    <w:p w14:paraId="79E78A5D" w14:textId="77777777" w:rsidR="006D7308" w:rsidRPr="00114D92" w:rsidRDefault="006D7308">
      <w:pPr>
        <w:pStyle w:val="Tekstpodstawowy"/>
        <w:rPr>
          <w:b/>
        </w:rPr>
      </w:pPr>
    </w:p>
    <w:p w14:paraId="42B40879" w14:textId="77777777" w:rsidR="006D7308" w:rsidRPr="00E3287D" w:rsidRDefault="00114D92" w:rsidP="00114D92">
      <w:pPr>
        <w:pStyle w:val="Nagwek8"/>
        <w:numPr>
          <w:ilvl w:val="0"/>
          <w:numId w:val="4"/>
        </w:numPr>
        <w:tabs>
          <w:tab w:val="left" w:pos="716"/>
        </w:tabs>
        <w:spacing w:before="92"/>
        <w:rPr>
          <w:b/>
          <w:sz w:val="22"/>
          <w:szCs w:val="22"/>
        </w:rPr>
      </w:pPr>
      <w:r w:rsidRPr="00E3287D">
        <w:rPr>
          <w:b/>
          <w:sz w:val="22"/>
          <w:szCs w:val="22"/>
        </w:rPr>
        <w:t>Odszkodowanie</w:t>
      </w:r>
    </w:p>
    <w:p w14:paraId="0FB5D902" w14:textId="77777777" w:rsidR="006D7308" w:rsidRPr="00E3287D" w:rsidRDefault="00114D92" w:rsidP="005311C6">
      <w:pPr>
        <w:spacing w:before="230"/>
        <w:ind w:left="514" w:right="351"/>
        <w:jc w:val="both"/>
      </w:pPr>
      <w:r w:rsidRPr="00E3287D">
        <w:t>Odszkodowanie za szkodę z tytułu</w:t>
      </w:r>
      <w:r w:rsidR="00E42B30" w:rsidRPr="00E3287D">
        <w:t xml:space="preserve"> zagubienia</w:t>
      </w:r>
      <w:r w:rsidRPr="00E3287D">
        <w:t xml:space="preserve"> lub uszkodzenia wagonu jest wypłac</w:t>
      </w:r>
      <w:r w:rsidR="0012493E" w:rsidRPr="00E3287D">
        <w:t xml:space="preserve">ane według wartości </w:t>
      </w:r>
      <w:commentRangeStart w:id="1"/>
      <w:commentRangeStart w:id="2"/>
      <w:r w:rsidR="0012493E" w:rsidRPr="00E3287D">
        <w:t xml:space="preserve">rezydualnej </w:t>
      </w:r>
      <w:commentRangeEnd w:id="1"/>
      <w:r w:rsidR="00960360">
        <w:rPr>
          <w:rStyle w:val="Odwoaniedokomentarza"/>
        </w:rPr>
        <w:commentReference w:id="1"/>
      </w:r>
      <w:commentRangeEnd w:id="2"/>
      <w:r w:rsidR="00960360">
        <w:rPr>
          <w:rStyle w:val="Odwoaniedokomentarza"/>
        </w:rPr>
        <w:commentReference w:id="2"/>
      </w:r>
      <w:r w:rsidRPr="00E3287D">
        <w:t>wagonu. Posiadacz podejmuje decyzję o wyborze jednej z następujących zasad obliczenia odszkodowania:</w:t>
      </w:r>
    </w:p>
    <w:p w14:paraId="4E52ED67" w14:textId="77777777" w:rsidR="006D7308" w:rsidRPr="00E3287D" w:rsidRDefault="006D7308" w:rsidP="005311C6">
      <w:pPr>
        <w:pStyle w:val="Tekstpodstawowy"/>
        <w:ind w:right="351"/>
        <w:jc w:val="both"/>
      </w:pPr>
    </w:p>
    <w:p w14:paraId="5E6A73CA" w14:textId="77777777" w:rsidR="00E3287D" w:rsidRDefault="00114D92" w:rsidP="00E3287D">
      <w:pPr>
        <w:pStyle w:val="Akapitzlist"/>
        <w:numPr>
          <w:ilvl w:val="1"/>
          <w:numId w:val="4"/>
        </w:numPr>
        <w:tabs>
          <w:tab w:val="left" w:pos="1418"/>
        </w:tabs>
        <w:ind w:left="1418" w:right="351" w:hanging="313"/>
        <w:jc w:val="both"/>
      </w:pPr>
      <w:r w:rsidRPr="00E3287D">
        <w:t xml:space="preserve">wyliczenie konkretnej wartości rezydualnej, poparte dokumentacją udowadniającą rzeczywisty wymiar szkody, </w:t>
      </w:r>
    </w:p>
    <w:p w14:paraId="34E8F163" w14:textId="77777777" w:rsidR="006D7308" w:rsidRPr="00E3287D" w:rsidRDefault="00114D92" w:rsidP="00E3287D">
      <w:pPr>
        <w:pStyle w:val="Akapitzlist"/>
        <w:tabs>
          <w:tab w:val="left" w:pos="1134"/>
        </w:tabs>
        <w:ind w:left="1134" w:right="351" w:firstLine="0"/>
      </w:pPr>
      <w:r w:rsidRPr="00E3287D">
        <w:t xml:space="preserve">lub </w:t>
      </w:r>
    </w:p>
    <w:p w14:paraId="6781371B" w14:textId="77777777" w:rsidR="006D7308" w:rsidRPr="00E3287D" w:rsidRDefault="00114D92" w:rsidP="00E3287D">
      <w:pPr>
        <w:pStyle w:val="Akapitzlist"/>
        <w:numPr>
          <w:ilvl w:val="1"/>
          <w:numId w:val="4"/>
        </w:numPr>
        <w:tabs>
          <w:tab w:val="left" w:pos="1418"/>
        </w:tabs>
        <w:spacing w:line="230" w:lineRule="exact"/>
        <w:ind w:left="1418" w:right="351" w:hanging="313"/>
        <w:jc w:val="both"/>
      </w:pPr>
      <w:r w:rsidRPr="00E3287D">
        <w:t>ryczałtowa wartość rezydualna.</w:t>
      </w:r>
    </w:p>
    <w:p w14:paraId="632C0656" w14:textId="77777777" w:rsidR="006D7308" w:rsidRPr="00E3287D" w:rsidRDefault="006D7308" w:rsidP="005311C6">
      <w:pPr>
        <w:pStyle w:val="Tekstpodstawowy"/>
        <w:spacing w:before="1"/>
        <w:ind w:right="351"/>
        <w:jc w:val="both"/>
      </w:pPr>
    </w:p>
    <w:p w14:paraId="2AFBF0ED" w14:textId="77777777" w:rsidR="006D7308" w:rsidRPr="00E3287D" w:rsidRDefault="00114D92" w:rsidP="005311C6">
      <w:pPr>
        <w:pStyle w:val="Akapitzlist"/>
        <w:numPr>
          <w:ilvl w:val="0"/>
          <w:numId w:val="3"/>
        </w:numPr>
        <w:tabs>
          <w:tab w:val="left" w:pos="771"/>
        </w:tabs>
        <w:ind w:right="351"/>
        <w:jc w:val="both"/>
        <w:rPr>
          <w:b/>
        </w:rPr>
      </w:pPr>
      <w:r w:rsidRPr="00E3287D">
        <w:rPr>
          <w:b/>
        </w:rPr>
        <w:t>Obliczanie konkretnej wartość rezydualnej</w:t>
      </w:r>
    </w:p>
    <w:p w14:paraId="1E568C37" w14:textId="77777777" w:rsidR="006D7308" w:rsidRPr="00E3287D" w:rsidRDefault="006D7308" w:rsidP="005311C6">
      <w:pPr>
        <w:pStyle w:val="Tekstpodstawowy"/>
        <w:spacing w:before="11"/>
        <w:ind w:right="351"/>
        <w:jc w:val="both"/>
        <w:rPr>
          <w:b/>
        </w:rPr>
      </w:pPr>
    </w:p>
    <w:p w14:paraId="794DE4D5" w14:textId="77777777" w:rsidR="006D7308" w:rsidRPr="00E3287D" w:rsidRDefault="00114D92" w:rsidP="005311C6">
      <w:pPr>
        <w:ind w:left="514" w:right="351"/>
        <w:jc w:val="both"/>
      </w:pPr>
      <w:r w:rsidRPr="00E3287D">
        <w:t>Posiadacz określa konkretną wartość rezydualną i przedkłada dokumentację udowadniającą ww. wartość.</w:t>
      </w:r>
    </w:p>
    <w:p w14:paraId="3C50AAD4" w14:textId="77777777" w:rsidR="006D7308" w:rsidRPr="00E3287D" w:rsidRDefault="006D7308" w:rsidP="005311C6">
      <w:pPr>
        <w:pStyle w:val="Tekstpodstawowy"/>
        <w:spacing w:before="11"/>
        <w:ind w:right="351"/>
        <w:jc w:val="both"/>
      </w:pPr>
    </w:p>
    <w:p w14:paraId="7DB64CC5" w14:textId="77777777" w:rsidR="006D7308" w:rsidRPr="00E3287D" w:rsidRDefault="00114D92" w:rsidP="005311C6">
      <w:pPr>
        <w:pStyle w:val="Akapitzlist"/>
        <w:numPr>
          <w:ilvl w:val="0"/>
          <w:numId w:val="3"/>
        </w:numPr>
        <w:tabs>
          <w:tab w:val="left" w:pos="771"/>
        </w:tabs>
        <w:ind w:right="351"/>
        <w:jc w:val="both"/>
        <w:rPr>
          <w:b/>
        </w:rPr>
      </w:pPr>
      <w:r w:rsidRPr="00E3287D">
        <w:rPr>
          <w:b/>
        </w:rPr>
        <w:t>Obliczenie ryczałtowej wartości rezydualnej</w:t>
      </w:r>
    </w:p>
    <w:p w14:paraId="55AC25E4" w14:textId="77777777" w:rsidR="006D7308" w:rsidRPr="00E3287D" w:rsidRDefault="006D7308" w:rsidP="005311C6">
      <w:pPr>
        <w:pStyle w:val="Tekstpodstawowy"/>
        <w:spacing w:before="1"/>
        <w:ind w:right="351"/>
        <w:jc w:val="both"/>
        <w:rPr>
          <w:b/>
        </w:rPr>
      </w:pPr>
    </w:p>
    <w:p w14:paraId="48366D46" w14:textId="77777777" w:rsidR="006D7308" w:rsidRPr="00E3287D" w:rsidRDefault="00114D92" w:rsidP="00E3287D">
      <w:pPr>
        <w:pStyle w:val="Akapitzlist"/>
        <w:numPr>
          <w:ilvl w:val="1"/>
          <w:numId w:val="3"/>
        </w:numPr>
        <w:tabs>
          <w:tab w:val="left" w:pos="851"/>
        </w:tabs>
        <w:ind w:left="993" w:right="351" w:hanging="479"/>
        <w:jc w:val="both"/>
      </w:pPr>
      <w:r w:rsidRPr="00E3287D">
        <w:t>Obliczanie wartości odtworzeniowej</w:t>
      </w:r>
      <w:r w:rsidR="00085886" w:rsidRPr="00E3287D">
        <w:t xml:space="preserve"> </w:t>
      </w:r>
    </w:p>
    <w:p w14:paraId="6B0B0146" w14:textId="77777777" w:rsidR="006D7308" w:rsidRPr="00E3287D" w:rsidRDefault="006D7308" w:rsidP="005311C6">
      <w:pPr>
        <w:pStyle w:val="Tekstpodstawowy"/>
        <w:spacing w:before="11"/>
        <w:ind w:right="351"/>
        <w:jc w:val="both"/>
      </w:pPr>
    </w:p>
    <w:p w14:paraId="203CDB62" w14:textId="77777777" w:rsidR="006D7308" w:rsidRPr="00E3287D" w:rsidRDefault="00114D92" w:rsidP="005311C6">
      <w:pPr>
        <w:ind w:left="514" w:right="351"/>
        <w:jc w:val="both"/>
      </w:pPr>
      <w:r w:rsidRPr="00E3287D">
        <w:t xml:space="preserve">Wartość odtworzeniowa jest średnią wartością nowego wagonu tego samego rodzaju lub </w:t>
      </w:r>
      <w:commentRangeStart w:id="3"/>
      <w:r w:rsidRPr="00E3287D">
        <w:t xml:space="preserve">porównywalnego </w:t>
      </w:r>
      <w:commentRangeEnd w:id="3"/>
      <w:r w:rsidR="00960360">
        <w:rPr>
          <w:rStyle w:val="Odwoaniedokomentarza"/>
        </w:rPr>
        <w:commentReference w:id="3"/>
      </w:r>
      <w:r w:rsidRPr="00E3287D">
        <w:t>w chwili powstania szkody (</w:t>
      </w:r>
      <w:r w:rsidR="00E42B30" w:rsidRPr="00E3287D">
        <w:t xml:space="preserve">zagubienia </w:t>
      </w:r>
      <w:r w:rsidRPr="00E3287D">
        <w:t>lub uszkodzenia).  Posiadacz przedkłada dokumentację udowadniającą ww. wartość odtworzeniową.</w:t>
      </w:r>
    </w:p>
    <w:p w14:paraId="59B9094E" w14:textId="77777777" w:rsidR="006D7308" w:rsidRPr="00E3287D" w:rsidRDefault="006D7308" w:rsidP="005311C6">
      <w:pPr>
        <w:pStyle w:val="Tekstpodstawowy"/>
        <w:ind w:right="351"/>
        <w:jc w:val="both"/>
      </w:pPr>
    </w:p>
    <w:p w14:paraId="2AA6D2D9" w14:textId="77777777" w:rsidR="006D7308" w:rsidRPr="00E3287D" w:rsidRDefault="00114D92" w:rsidP="00E3287D">
      <w:pPr>
        <w:pStyle w:val="Akapitzlist"/>
        <w:numPr>
          <w:ilvl w:val="1"/>
          <w:numId w:val="3"/>
        </w:numPr>
        <w:tabs>
          <w:tab w:val="left" w:pos="851"/>
        </w:tabs>
        <w:ind w:left="851" w:right="351" w:hanging="337"/>
        <w:jc w:val="both"/>
      </w:pPr>
      <w:r w:rsidRPr="00E3287D">
        <w:t>Obliczanie odszkodowania</w:t>
      </w:r>
    </w:p>
    <w:p w14:paraId="5CF39CAE" w14:textId="77777777" w:rsidR="006D7308" w:rsidRPr="00E3287D" w:rsidRDefault="006D7308" w:rsidP="005311C6">
      <w:pPr>
        <w:pStyle w:val="Tekstpodstawowy"/>
        <w:spacing w:before="11"/>
        <w:ind w:right="351"/>
        <w:jc w:val="both"/>
      </w:pPr>
    </w:p>
    <w:p w14:paraId="08CEB4DA" w14:textId="77777777" w:rsidR="006D7308" w:rsidRPr="00E3287D" w:rsidRDefault="00114D92" w:rsidP="005311C6">
      <w:pPr>
        <w:pStyle w:val="Akapitzlist"/>
        <w:numPr>
          <w:ilvl w:val="2"/>
          <w:numId w:val="3"/>
        </w:numPr>
        <w:tabs>
          <w:tab w:val="left" w:pos="1108"/>
        </w:tabs>
        <w:ind w:right="351" w:hanging="592"/>
        <w:jc w:val="both"/>
      </w:pPr>
      <w:r w:rsidRPr="00E3287D">
        <w:t xml:space="preserve">Wartość odszkodowania na postawie art. 19.2 lub 20.3. Umowy </w:t>
      </w:r>
      <w:r w:rsidR="00A73687" w:rsidRPr="00E3287D">
        <w:t xml:space="preserve">GCU </w:t>
      </w:r>
      <w:r w:rsidRPr="00E3287D">
        <w:t xml:space="preserve">oblicza się zgodnie z postanowieniami pkt. 2.2 i 2.3. poniżej. Dodatkowo do </w:t>
      </w:r>
      <w:r w:rsidR="00DB657F" w:rsidRPr="00E3287D">
        <w:t>za</w:t>
      </w:r>
      <w:r w:rsidRPr="00E3287D">
        <w:t xml:space="preserve">płaty przypada </w:t>
      </w:r>
      <w:r w:rsidR="00DB657F" w:rsidRPr="00E3287D">
        <w:t xml:space="preserve">kwota ryczałtowa </w:t>
      </w:r>
      <w:r w:rsidRPr="00E3287D">
        <w:t>zgodnie z pkt. 2.4.</w:t>
      </w:r>
    </w:p>
    <w:p w14:paraId="7CFCC969" w14:textId="77777777" w:rsidR="006D7308" w:rsidRPr="00E3287D" w:rsidRDefault="006D7308" w:rsidP="005311C6">
      <w:pPr>
        <w:pStyle w:val="Tekstpodstawowy"/>
        <w:ind w:right="351"/>
        <w:jc w:val="both"/>
      </w:pPr>
    </w:p>
    <w:p w14:paraId="08C7C685" w14:textId="77777777" w:rsidR="006D7308" w:rsidRPr="00E3287D" w:rsidRDefault="0012493E" w:rsidP="005311C6">
      <w:pPr>
        <w:pStyle w:val="Akapitzlist"/>
        <w:numPr>
          <w:ilvl w:val="2"/>
          <w:numId w:val="3"/>
        </w:numPr>
        <w:tabs>
          <w:tab w:val="left" w:pos="1108"/>
        </w:tabs>
        <w:spacing w:before="1"/>
        <w:ind w:right="351" w:hanging="592"/>
        <w:jc w:val="both"/>
      </w:pPr>
      <w:commentRangeStart w:id="4"/>
      <w:r w:rsidRPr="00E3287D">
        <w:t>Przede wszystkim</w:t>
      </w:r>
      <w:r w:rsidR="00114D92" w:rsidRPr="00E3287D">
        <w:t xml:space="preserve"> </w:t>
      </w:r>
      <w:commentRangeEnd w:id="4"/>
      <w:r w:rsidR="00960360">
        <w:rPr>
          <w:rStyle w:val="Odwoaniedokomentarza"/>
        </w:rPr>
        <w:commentReference w:id="4"/>
      </w:r>
      <w:r w:rsidR="00114D92" w:rsidRPr="00E3287D">
        <w:t xml:space="preserve">wartość odtworzeniową ustaloną zgodnie z pkt. B1 zmniejsza się o 4% za każdy rok eksploatacji (stawka liniowa), nie więcej jednak niż o 80 % wartości odtworzeniowej (wysokość odszkodowania - wariant 1). </w:t>
      </w:r>
    </w:p>
    <w:p w14:paraId="73179C14" w14:textId="77777777" w:rsidR="006D7308" w:rsidRPr="00E3287D" w:rsidRDefault="00114D92" w:rsidP="005311C6">
      <w:pPr>
        <w:ind w:left="1106" w:right="351"/>
        <w:jc w:val="both"/>
      </w:pPr>
      <w:r w:rsidRPr="00E3287D">
        <w:t>Przy obliczaniu liczby lat eksploatacji, rok budowy i rok, w którym wagon został uszkodzony lub zagubiony są liczone jako jeden rok.</w:t>
      </w:r>
    </w:p>
    <w:p w14:paraId="6BCB9B35" w14:textId="77777777" w:rsidR="006D7308" w:rsidRPr="00E3287D" w:rsidRDefault="006D7308" w:rsidP="005311C6">
      <w:pPr>
        <w:pStyle w:val="Tekstpodstawowy"/>
        <w:ind w:right="351"/>
        <w:jc w:val="both"/>
      </w:pPr>
    </w:p>
    <w:p w14:paraId="7D0E287A" w14:textId="77777777" w:rsidR="006D7308" w:rsidRPr="00E3287D" w:rsidRDefault="00114D92" w:rsidP="005311C6">
      <w:pPr>
        <w:pStyle w:val="Akapitzlist"/>
        <w:numPr>
          <w:ilvl w:val="2"/>
          <w:numId w:val="3"/>
        </w:numPr>
        <w:tabs>
          <w:tab w:val="left" w:pos="1106"/>
          <w:tab w:val="left" w:pos="1108"/>
        </w:tabs>
        <w:ind w:right="351" w:hanging="592"/>
        <w:jc w:val="both"/>
      </w:pPr>
      <w:r w:rsidRPr="00E3287D">
        <w:t xml:space="preserve">Jeśli posiadacz decyduje się zachować wagon, z wyliczonej zgodnie z punktem 2.2 kwoty odszkodowania </w:t>
      </w:r>
      <w:r w:rsidR="00DB657F" w:rsidRPr="00E3287D">
        <w:t xml:space="preserve">do zapłaty </w:t>
      </w:r>
      <w:r w:rsidRPr="00E3287D">
        <w:t>odlicza się 10 % (wysokość odszkodowania - wariant 2).</w:t>
      </w:r>
    </w:p>
    <w:p w14:paraId="2333C3A3" w14:textId="77777777" w:rsidR="006D7308" w:rsidRPr="00E3287D" w:rsidRDefault="00114D92" w:rsidP="005311C6">
      <w:pPr>
        <w:ind w:left="1106" w:right="351"/>
        <w:jc w:val="both"/>
      </w:pPr>
      <w:r w:rsidRPr="00E3287D">
        <w:t>Przy zwrocie tego wagonu do posiadacza, posiadacz może obciążyć odpowiedzialne KPP faktycznymi kosztami transportu w pełnej wysokości</w:t>
      </w:r>
      <w:r w:rsidR="00DB657F" w:rsidRPr="00E3287D">
        <w:t>,</w:t>
      </w:r>
      <w:r w:rsidRPr="00E3287D">
        <w:t xml:space="preserve"> przedstawiając dokumenty udowadniające wysokość poniesionego kosztu. Kwota zafakturowana tytułem kosztów transportu nie może przekroczyć 10% odszkodowania należnego na postawie pkt. 2.3 (</w:t>
      </w:r>
      <w:r w:rsidR="007E76D4" w:rsidRPr="00E3287D">
        <w:t>wariant 2</w:t>
      </w:r>
      <w:r w:rsidRPr="00E3287D">
        <w:t>).</w:t>
      </w:r>
    </w:p>
    <w:p w14:paraId="13E50CAC" w14:textId="77777777" w:rsidR="006D7308" w:rsidRPr="00E3287D" w:rsidRDefault="006D7308" w:rsidP="005311C6">
      <w:pPr>
        <w:pStyle w:val="Tekstpodstawowy"/>
        <w:spacing w:before="10"/>
        <w:ind w:right="351"/>
        <w:jc w:val="both"/>
      </w:pPr>
    </w:p>
    <w:p w14:paraId="5523EEC3" w14:textId="77777777" w:rsidR="006D7308" w:rsidRPr="00E3287D" w:rsidRDefault="00114D92" w:rsidP="005311C6">
      <w:pPr>
        <w:pStyle w:val="Akapitzlist"/>
        <w:numPr>
          <w:ilvl w:val="2"/>
          <w:numId w:val="3"/>
        </w:numPr>
        <w:tabs>
          <w:tab w:val="left" w:pos="1106"/>
          <w:tab w:val="left" w:pos="1108"/>
        </w:tabs>
        <w:spacing w:before="1"/>
        <w:ind w:right="351" w:hanging="592"/>
        <w:jc w:val="both"/>
      </w:pPr>
      <w:r w:rsidRPr="00E3287D">
        <w:t xml:space="preserve">Do wartości odszkodowania płatnego zgodnie z pkt 2.2 lub 2.3 dolicza się ryczałtową opłatę w kwocie 2000 EUR (opłata dla posiadacza za obliczenie odszkodowania z tytułu </w:t>
      </w:r>
      <w:r w:rsidR="00E42B30" w:rsidRPr="00E3287D">
        <w:t xml:space="preserve">zagubienia </w:t>
      </w:r>
      <w:r w:rsidRPr="00E3287D">
        <w:t>lub uszkodzenia).</w:t>
      </w:r>
    </w:p>
    <w:p w14:paraId="5E8B853B" w14:textId="77777777" w:rsidR="006D7308" w:rsidRPr="00E3287D" w:rsidRDefault="006D7308">
      <w:pPr>
        <w:sectPr w:rsidR="006D7308" w:rsidRPr="00E3287D" w:rsidSect="00E3287D">
          <w:headerReference w:type="default" r:id="rId11"/>
          <w:footerReference w:type="default" r:id="rId12"/>
          <w:pgSz w:w="11910" w:h="16840"/>
          <w:pgMar w:top="228" w:right="720" w:bottom="720" w:left="720" w:header="426" w:footer="423" w:gutter="0"/>
          <w:pgNumType w:start="1"/>
          <w:cols w:space="708"/>
          <w:docGrid w:linePitch="299"/>
        </w:sectPr>
      </w:pPr>
    </w:p>
    <w:p w14:paraId="298312D5" w14:textId="77777777" w:rsidR="006D7308" w:rsidRPr="00E3287D" w:rsidRDefault="006D7308">
      <w:pPr>
        <w:pStyle w:val="Tekstpodstawowy"/>
        <w:spacing w:before="4"/>
      </w:pPr>
    </w:p>
    <w:p w14:paraId="24764C86" w14:textId="77777777" w:rsidR="006D7308" w:rsidRPr="00E3287D" w:rsidRDefault="00114D92" w:rsidP="00DB657F">
      <w:pPr>
        <w:pStyle w:val="Nagwek8"/>
        <w:numPr>
          <w:ilvl w:val="0"/>
          <w:numId w:val="2"/>
        </w:numPr>
        <w:tabs>
          <w:tab w:val="left" w:pos="782"/>
        </w:tabs>
        <w:spacing w:before="92"/>
        <w:ind w:right="209" w:hanging="267"/>
        <w:jc w:val="both"/>
        <w:rPr>
          <w:b/>
          <w:sz w:val="22"/>
          <w:szCs w:val="22"/>
        </w:rPr>
      </w:pPr>
      <w:r w:rsidRPr="00E3287D">
        <w:rPr>
          <w:b/>
          <w:sz w:val="22"/>
          <w:szCs w:val="22"/>
        </w:rPr>
        <w:t>Postępowanie przy odszkodowaniu</w:t>
      </w:r>
    </w:p>
    <w:p w14:paraId="69626DAB" w14:textId="77777777" w:rsidR="006D7308" w:rsidRPr="00E3287D" w:rsidRDefault="00E42B30" w:rsidP="00E3287D">
      <w:pPr>
        <w:pStyle w:val="Akapitzlist"/>
        <w:numPr>
          <w:ilvl w:val="1"/>
          <w:numId w:val="2"/>
        </w:numPr>
        <w:tabs>
          <w:tab w:val="left" w:pos="851"/>
        </w:tabs>
        <w:spacing w:before="231"/>
        <w:ind w:left="851" w:right="209" w:hanging="337"/>
        <w:jc w:val="both"/>
      </w:pPr>
      <w:r w:rsidRPr="00E3287D">
        <w:t>Zagubienie</w:t>
      </w:r>
    </w:p>
    <w:p w14:paraId="001633C8" w14:textId="77777777" w:rsidR="006D7308" w:rsidRPr="00E3287D" w:rsidRDefault="006D7308" w:rsidP="00DB657F">
      <w:pPr>
        <w:pStyle w:val="Tekstpodstawowy"/>
        <w:ind w:right="209"/>
        <w:jc w:val="both"/>
      </w:pPr>
    </w:p>
    <w:p w14:paraId="6ECD4064" w14:textId="77777777" w:rsidR="006D7308" w:rsidRPr="00E3287D" w:rsidRDefault="00114D92" w:rsidP="00DB657F">
      <w:pPr>
        <w:ind w:left="538" w:right="209" w:hanging="24"/>
        <w:jc w:val="both"/>
      </w:pPr>
      <w:r w:rsidRPr="00E3287D">
        <w:t xml:space="preserve">Posiadacz przesyła KPP fakturę zgodną z zasadami określonymi w pkt. </w:t>
      </w:r>
      <w:r w:rsidR="00DB657F" w:rsidRPr="00E3287D">
        <w:t>I</w:t>
      </w:r>
      <w:r w:rsidRPr="00E3287D">
        <w:t>, załączając do niej dowód potwierdzający wykreślenie wagonu z narodowego rejestru pojazdów.</w:t>
      </w:r>
    </w:p>
    <w:p w14:paraId="532C3A22" w14:textId="77777777" w:rsidR="006D7308" w:rsidRPr="00E3287D" w:rsidRDefault="006D7308" w:rsidP="00DB657F">
      <w:pPr>
        <w:pStyle w:val="Tekstpodstawowy"/>
        <w:ind w:right="209"/>
        <w:jc w:val="both"/>
      </w:pPr>
    </w:p>
    <w:p w14:paraId="62BF10ED" w14:textId="77777777" w:rsidR="006D7308" w:rsidRPr="00E3287D" w:rsidRDefault="00114D92" w:rsidP="00E3287D">
      <w:pPr>
        <w:pStyle w:val="Akapitzlist"/>
        <w:numPr>
          <w:ilvl w:val="1"/>
          <w:numId w:val="2"/>
        </w:numPr>
        <w:tabs>
          <w:tab w:val="left" w:pos="851"/>
        </w:tabs>
        <w:ind w:left="851" w:right="209" w:hanging="223"/>
        <w:jc w:val="both"/>
      </w:pPr>
      <w:r w:rsidRPr="00E3287D">
        <w:t>Uszkodzone</w:t>
      </w:r>
    </w:p>
    <w:p w14:paraId="56F9477C" w14:textId="77777777" w:rsidR="006D7308" w:rsidRPr="00E3287D" w:rsidRDefault="006D7308" w:rsidP="00DB657F">
      <w:pPr>
        <w:pStyle w:val="Tekstpodstawowy"/>
        <w:spacing w:before="11"/>
        <w:ind w:right="209"/>
        <w:jc w:val="both"/>
      </w:pPr>
    </w:p>
    <w:p w14:paraId="343855C3" w14:textId="77777777" w:rsidR="006D7308" w:rsidRPr="00E3287D" w:rsidRDefault="00114D92" w:rsidP="00DB657F">
      <w:pPr>
        <w:ind w:left="514" w:right="209"/>
        <w:jc w:val="both"/>
      </w:pPr>
      <w:r w:rsidRPr="00E3287D">
        <w:t xml:space="preserve">Posiadacz przesyła KPP fakturę zgodną z zasadami określonymi w pkt. </w:t>
      </w:r>
      <w:r w:rsidR="00DB657F" w:rsidRPr="00E3287D">
        <w:t>I</w:t>
      </w:r>
      <w:r w:rsidRPr="00E3287D">
        <w:t>.</w:t>
      </w:r>
    </w:p>
    <w:p w14:paraId="703EDB06" w14:textId="77777777" w:rsidR="006D7308" w:rsidRPr="00E3287D" w:rsidRDefault="006D7308" w:rsidP="00DB657F">
      <w:pPr>
        <w:pStyle w:val="Tekstpodstawowy"/>
        <w:spacing w:before="11"/>
        <w:ind w:right="209"/>
        <w:jc w:val="both"/>
      </w:pPr>
    </w:p>
    <w:p w14:paraId="3665766F" w14:textId="77777777" w:rsidR="006D7308" w:rsidRPr="00E3287D" w:rsidRDefault="00114D92" w:rsidP="00DB657F">
      <w:pPr>
        <w:ind w:left="538" w:right="209" w:hanging="24"/>
        <w:jc w:val="both"/>
      </w:pPr>
      <w:r w:rsidRPr="00E3287D">
        <w:t xml:space="preserve">Na fakturze posiadacz wyraźnie określa czy chce przekazać wagon do KPP w celu złomowania czy </w:t>
      </w:r>
      <w:r w:rsidR="00DB657F" w:rsidRPr="00E3287D">
        <w:t xml:space="preserve">też </w:t>
      </w:r>
      <w:r w:rsidRPr="00E3287D">
        <w:t xml:space="preserve">chce go zachować. Decyzja </w:t>
      </w:r>
      <w:r w:rsidR="00DB657F" w:rsidRPr="00E3287D">
        <w:t xml:space="preserve">posiadacza jest </w:t>
      </w:r>
      <w:r w:rsidRPr="00E3287D">
        <w:t>wiążąca dla KPP.</w:t>
      </w:r>
    </w:p>
    <w:p w14:paraId="6D7D4089" w14:textId="77777777" w:rsidR="006D7308" w:rsidRPr="00E3287D" w:rsidRDefault="006D7308" w:rsidP="00DB657F">
      <w:pPr>
        <w:pStyle w:val="Tekstpodstawowy"/>
        <w:ind w:right="209"/>
        <w:jc w:val="both"/>
      </w:pPr>
    </w:p>
    <w:p w14:paraId="7921BB28" w14:textId="77777777" w:rsidR="006D7308" w:rsidRPr="00E3287D" w:rsidRDefault="00114D92" w:rsidP="00DB657F">
      <w:pPr>
        <w:ind w:left="538" w:right="209" w:hanging="24"/>
        <w:jc w:val="both"/>
      </w:pPr>
      <w:r w:rsidRPr="00E3287D">
        <w:t xml:space="preserve">Jeśli posiadacz zdecyduje się </w:t>
      </w:r>
      <w:r w:rsidR="00DB657F" w:rsidRPr="00E3287D">
        <w:t xml:space="preserve">przekazać </w:t>
      </w:r>
      <w:r w:rsidRPr="00E3287D">
        <w:t>wagon KPP w celu złomowania, jest wówczas zobowiązany przekazać KPP, razem z fakturą</w:t>
      </w:r>
      <w:r w:rsidR="00DB657F" w:rsidRPr="00E3287D">
        <w:t>,</w:t>
      </w:r>
      <w:r w:rsidRPr="00E3287D">
        <w:t xml:space="preserve"> dokument upoważniający KPP do przeprowadzenia złomowania i zatrzymania osiągniętego w ten sposób dochodu.</w:t>
      </w:r>
    </w:p>
    <w:p w14:paraId="1E15E33F" w14:textId="77777777" w:rsidR="006D7308" w:rsidRPr="00E3287D" w:rsidRDefault="006D7308" w:rsidP="00DB657F">
      <w:pPr>
        <w:pStyle w:val="Tekstpodstawowy"/>
        <w:spacing w:before="1"/>
        <w:ind w:right="209"/>
        <w:jc w:val="both"/>
      </w:pPr>
    </w:p>
    <w:p w14:paraId="48BBA926" w14:textId="77777777" w:rsidR="006D7308" w:rsidRPr="00E3287D" w:rsidRDefault="00114D92" w:rsidP="00DB657F">
      <w:pPr>
        <w:ind w:left="538" w:right="209" w:hanging="24"/>
        <w:jc w:val="both"/>
      </w:pPr>
      <w:r w:rsidRPr="00E3287D">
        <w:t>KPP jest zobowiązane możliwie jak najwcześniej dostarczyć dokument zezłomowania wagonu</w:t>
      </w:r>
      <w:r w:rsidR="00514FB7" w:rsidRPr="00E3287D">
        <w:t>,</w:t>
      </w:r>
      <w:r w:rsidRPr="00E3287D">
        <w:t xml:space="preserve"> aby umożliwić posiadaczowi wykreślenie wagonu z narodowego rejestru pojazdów.</w:t>
      </w:r>
    </w:p>
    <w:p w14:paraId="6254F8A9" w14:textId="77777777" w:rsidR="006D7308" w:rsidRPr="00E3287D" w:rsidRDefault="006D7308" w:rsidP="00DB657F">
      <w:pPr>
        <w:pStyle w:val="Tekstpodstawowy"/>
        <w:ind w:right="209"/>
        <w:jc w:val="both"/>
      </w:pPr>
    </w:p>
    <w:p w14:paraId="70D44DC6" w14:textId="77777777" w:rsidR="006D7308" w:rsidRPr="00E3287D" w:rsidRDefault="00114D92" w:rsidP="00E3287D">
      <w:pPr>
        <w:pStyle w:val="Akapitzlist"/>
        <w:numPr>
          <w:ilvl w:val="1"/>
          <w:numId w:val="2"/>
        </w:numPr>
        <w:tabs>
          <w:tab w:val="left" w:pos="851"/>
        </w:tabs>
        <w:ind w:left="851" w:right="209" w:hanging="337"/>
        <w:jc w:val="both"/>
      </w:pPr>
      <w:r w:rsidRPr="00E3287D">
        <w:t>Osoby działające w imieniu stron</w:t>
      </w:r>
    </w:p>
    <w:p w14:paraId="1BB891BA" w14:textId="77777777" w:rsidR="006D7308" w:rsidRPr="00E3287D" w:rsidRDefault="006D7308" w:rsidP="00DB657F">
      <w:pPr>
        <w:pStyle w:val="Tekstpodstawowy"/>
        <w:ind w:right="209"/>
        <w:jc w:val="both"/>
      </w:pPr>
    </w:p>
    <w:p w14:paraId="12BB5C86" w14:textId="77777777" w:rsidR="006D7308" w:rsidRPr="00E3287D" w:rsidRDefault="00114D92" w:rsidP="00DB657F">
      <w:pPr>
        <w:ind w:left="538" w:right="209" w:hanging="24"/>
        <w:jc w:val="both"/>
      </w:pPr>
      <w:r w:rsidRPr="00E3287D">
        <w:t xml:space="preserve">Przy powyższej procedurze KPP i posiadacza reprezentują osoby wymienione w Załączniku nr 1 do </w:t>
      </w:r>
      <w:r w:rsidR="00A73687" w:rsidRPr="00E3287D">
        <w:t>Umowy GCU.</w:t>
      </w:r>
    </w:p>
    <w:p w14:paraId="38D92CE3" w14:textId="77777777" w:rsidR="006D7308" w:rsidRPr="00E3287D" w:rsidRDefault="006D7308" w:rsidP="00DB657F">
      <w:pPr>
        <w:pStyle w:val="Tekstpodstawowy"/>
        <w:ind w:right="209"/>
        <w:jc w:val="both"/>
      </w:pPr>
    </w:p>
    <w:p w14:paraId="7E9BE0BF" w14:textId="77777777" w:rsidR="006D7308" w:rsidRPr="00E3287D" w:rsidRDefault="00114D92" w:rsidP="00E3287D">
      <w:pPr>
        <w:pStyle w:val="Akapitzlist"/>
        <w:numPr>
          <w:ilvl w:val="1"/>
          <w:numId w:val="2"/>
        </w:numPr>
        <w:tabs>
          <w:tab w:val="left" w:pos="851"/>
        </w:tabs>
        <w:ind w:left="851" w:right="209" w:hanging="337"/>
        <w:jc w:val="both"/>
      </w:pPr>
      <w:r w:rsidRPr="00E3287D">
        <w:t>Formalności celne</w:t>
      </w:r>
    </w:p>
    <w:p w14:paraId="3D09E8E3" w14:textId="77777777" w:rsidR="006D7308" w:rsidRPr="00E3287D" w:rsidRDefault="006D7308" w:rsidP="00DB657F">
      <w:pPr>
        <w:pStyle w:val="Tekstpodstawowy"/>
        <w:spacing w:before="11"/>
        <w:ind w:right="209"/>
        <w:jc w:val="both"/>
      </w:pPr>
    </w:p>
    <w:p w14:paraId="40381CB7" w14:textId="77777777" w:rsidR="006D7308" w:rsidRPr="00E3287D" w:rsidRDefault="00114D92" w:rsidP="00DB657F">
      <w:pPr>
        <w:ind w:left="514" w:right="209"/>
        <w:jc w:val="both"/>
      </w:pPr>
      <w:r w:rsidRPr="00E3287D">
        <w:t>KPP zobowiązane jest dopełnić wszelkie wymagane formalności celne.</w:t>
      </w:r>
    </w:p>
    <w:p w14:paraId="43B26090" w14:textId="77777777" w:rsidR="006D7308" w:rsidRPr="00E3287D" w:rsidRDefault="006D7308" w:rsidP="00DB657F">
      <w:pPr>
        <w:pStyle w:val="Tekstpodstawowy"/>
        <w:ind w:right="209"/>
        <w:jc w:val="both"/>
      </w:pPr>
    </w:p>
    <w:p w14:paraId="2D2F441D" w14:textId="77777777" w:rsidR="006D7308" w:rsidRPr="00E3287D" w:rsidRDefault="006D7308" w:rsidP="00DB657F">
      <w:pPr>
        <w:pStyle w:val="Tekstpodstawowy"/>
        <w:ind w:right="209"/>
        <w:jc w:val="both"/>
      </w:pPr>
    </w:p>
    <w:p w14:paraId="0954D12C" w14:textId="77777777" w:rsidR="006D7308" w:rsidRPr="00E3287D" w:rsidRDefault="00114D92" w:rsidP="00DB657F">
      <w:pPr>
        <w:pStyle w:val="Nagwek8"/>
        <w:numPr>
          <w:ilvl w:val="0"/>
          <w:numId w:val="2"/>
        </w:numPr>
        <w:tabs>
          <w:tab w:val="left" w:pos="849"/>
        </w:tabs>
        <w:ind w:left="848" w:right="209" w:hanging="334"/>
        <w:jc w:val="both"/>
        <w:rPr>
          <w:b/>
          <w:sz w:val="22"/>
          <w:szCs w:val="22"/>
        </w:rPr>
      </w:pPr>
      <w:r w:rsidRPr="00E3287D">
        <w:rPr>
          <w:b/>
          <w:sz w:val="22"/>
          <w:szCs w:val="22"/>
        </w:rPr>
        <w:t>Zasady ogólne</w:t>
      </w:r>
    </w:p>
    <w:p w14:paraId="15E94726" w14:textId="77777777" w:rsidR="006D7308" w:rsidRPr="00E3287D" w:rsidRDefault="00114D92" w:rsidP="00E3287D">
      <w:pPr>
        <w:pStyle w:val="Akapitzlist"/>
        <w:numPr>
          <w:ilvl w:val="0"/>
          <w:numId w:val="1"/>
        </w:numPr>
        <w:tabs>
          <w:tab w:val="left" w:pos="851"/>
        </w:tabs>
        <w:spacing w:before="231"/>
        <w:ind w:left="851" w:right="209" w:hanging="337"/>
        <w:jc w:val="both"/>
      </w:pPr>
      <w:r w:rsidRPr="00E3287D">
        <w:t xml:space="preserve">Powyższe zasady stosują się </w:t>
      </w:r>
      <w:commentRangeStart w:id="5"/>
      <w:r w:rsidRPr="00E3287D">
        <w:t xml:space="preserve">również </w:t>
      </w:r>
      <w:commentRangeEnd w:id="5"/>
      <w:r w:rsidR="00960360">
        <w:rPr>
          <w:rStyle w:val="Odwoaniedokomentarza"/>
        </w:rPr>
        <w:commentReference w:id="5"/>
      </w:r>
      <w:r w:rsidRPr="00E3287D">
        <w:t>do wózków.</w:t>
      </w:r>
    </w:p>
    <w:p w14:paraId="315B3F31" w14:textId="77777777" w:rsidR="006D7308" w:rsidRPr="00E3287D" w:rsidRDefault="006D7308" w:rsidP="00E3287D">
      <w:pPr>
        <w:pStyle w:val="Tekstpodstawowy"/>
        <w:tabs>
          <w:tab w:val="left" w:pos="851"/>
        </w:tabs>
        <w:spacing w:before="10"/>
        <w:ind w:left="851" w:right="209" w:hanging="337"/>
        <w:jc w:val="both"/>
      </w:pPr>
    </w:p>
    <w:p w14:paraId="14941218" w14:textId="77777777" w:rsidR="006D7308" w:rsidRPr="00E3287D" w:rsidRDefault="00114D92" w:rsidP="00E3287D">
      <w:pPr>
        <w:pStyle w:val="Akapitzlist"/>
        <w:numPr>
          <w:ilvl w:val="0"/>
          <w:numId w:val="1"/>
        </w:numPr>
        <w:tabs>
          <w:tab w:val="left" w:pos="851"/>
        </w:tabs>
        <w:spacing w:before="1"/>
        <w:ind w:left="851" w:right="209" w:hanging="337"/>
        <w:jc w:val="both"/>
      </w:pPr>
      <w:r w:rsidRPr="00E3287D">
        <w:t xml:space="preserve">Wszelkie inne prawa i obowiązki pozostają </w:t>
      </w:r>
      <w:commentRangeStart w:id="6"/>
      <w:r w:rsidRPr="00E3287D">
        <w:t>nienaruszone</w:t>
      </w:r>
      <w:commentRangeEnd w:id="6"/>
      <w:r w:rsidR="005C5D3C">
        <w:rPr>
          <w:rStyle w:val="Odwoaniedokomentarza"/>
        </w:rPr>
        <w:commentReference w:id="6"/>
      </w:r>
      <w:r w:rsidRPr="00E3287D">
        <w:t>.</w:t>
      </w:r>
    </w:p>
    <w:p w14:paraId="0F86EDA6" w14:textId="77777777" w:rsidR="00114D92" w:rsidRPr="00E3287D" w:rsidRDefault="00114D92" w:rsidP="00E3287D">
      <w:pPr>
        <w:pStyle w:val="Akapitzlist"/>
        <w:tabs>
          <w:tab w:val="left" w:pos="851"/>
        </w:tabs>
        <w:ind w:left="851" w:right="209" w:hanging="337"/>
        <w:jc w:val="both"/>
      </w:pPr>
    </w:p>
    <w:sectPr w:rsidR="00114D92" w:rsidRPr="00E3287D" w:rsidSect="00E3287D">
      <w:pgSz w:w="11910" w:h="16840"/>
      <w:pgMar w:top="720" w:right="720" w:bottom="720" w:left="720" w:header="426" w:footer="423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ciej Gładyga" w:date="2020-06-10T14:28:00Z" w:initials="MG">
    <w:p w14:paraId="0428B02E" w14:textId="4708F547" w:rsidR="00960360" w:rsidRDefault="00960360">
      <w:pPr>
        <w:pStyle w:val="Tekstkomentarza"/>
      </w:pPr>
      <w:r>
        <w:rPr>
          <w:rStyle w:val="Odwoaniedokomentarza"/>
        </w:rPr>
        <w:annotationRef/>
      </w:r>
      <w:r>
        <w:t xml:space="preserve">PKP CARGO S.A. </w:t>
      </w:r>
      <w:r w:rsidRPr="00960360">
        <w:t>dosłownie jest to „wartość czasowa” czyli w konkretnej chwili. Może warto zastanowić się nad tą rezydualną i zamienić np. na rzeczywistą?</w:t>
      </w:r>
    </w:p>
  </w:comment>
  <w:comment w:id="2" w:author="Maciej Gładyga" w:date="2020-06-10T14:28:00Z" w:initials="MG">
    <w:p w14:paraId="1D24DE87" w14:textId="5F1E7F0B" w:rsidR="00960360" w:rsidRDefault="00960360">
      <w:pPr>
        <w:pStyle w:val="Tekstkomentarza"/>
      </w:pPr>
      <w:r>
        <w:rPr>
          <w:rStyle w:val="Odwoaniedokomentarza"/>
        </w:rPr>
        <w:annotationRef/>
      </w:r>
      <w:r>
        <w:t>IGTL: Wartość rezydualna jest powszechnie używanym terminem w analizie kosztów i korzyści oraz ubezpieczeniach</w:t>
      </w:r>
    </w:p>
  </w:comment>
  <w:comment w:id="3" w:author="Maciej Gładyga" w:date="2020-06-10T14:30:00Z" w:initials="MG">
    <w:p w14:paraId="2FFCAC81" w14:textId="463620BB" w:rsidR="00960360" w:rsidRDefault="00960360">
      <w:pPr>
        <w:pStyle w:val="Tekstkomentarza"/>
      </w:pPr>
      <w:r>
        <w:rPr>
          <w:rStyle w:val="Odwoaniedokomentarza"/>
        </w:rPr>
        <w:annotationRef/>
      </w:r>
      <w:r w:rsidRPr="00960360">
        <w:t>PKP CARGO S.A.</w:t>
      </w:r>
      <w:r>
        <w:t xml:space="preserve"> porównywalnego nowego wagonu</w:t>
      </w:r>
    </w:p>
  </w:comment>
  <w:comment w:id="4" w:author="Maciej Gładyga" w:date="2020-06-10T14:31:00Z" w:initials="MG">
    <w:p w14:paraId="25927090" w14:textId="7B6948A7" w:rsidR="00960360" w:rsidRDefault="00960360">
      <w:pPr>
        <w:pStyle w:val="Tekstkomentarza"/>
      </w:pPr>
      <w:r>
        <w:rPr>
          <w:rStyle w:val="Odwoaniedokomentarza"/>
        </w:rPr>
        <w:annotationRef/>
      </w:r>
      <w:r w:rsidRPr="00960360">
        <w:t>PKP CARGO S.A.</w:t>
      </w:r>
      <w:r>
        <w:t xml:space="preserve"> Najpierw</w:t>
      </w:r>
    </w:p>
  </w:comment>
  <w:comment w:id="5" w:author="Maciej Gładyga" w:date="2020-06-10T14:32:00Z" w:initials="MG">
    <w:p w14:paraId="1115359E" w14:textId="266B38FA" w:rsidR="00960360" w:rsidRDefault="00960360">
      <w:pPr>
        <w:pStyle w:val="Tekstkomentarza"/>
      </w:pPr>
      <w:r>
        <w:rPr>
          <w:rStyle w:val="Odwoaniedokomentarza"/>
        </w:rPr>
        <w:annotationRef/>
      </w:r>
      <w:r w:rsidRPr="00960360">
        <w:t>PKP CARGO S.A.</w:t>
      </w:r>
      <w:r>
        <w:t xml:space="preserve"> odpowiednio</w:t>
      </w:r>
    </w:p>
  </w:comment>
  <w:comment w:id="6" w:author="Arkadiusz Błaszczuk" w:date="2020-01-14T11:25:00Z" w:initials="AB">
    <w:p w14:paraId="435F913D" w14:textId="36914C5C" w:rsidR="005C5D3C" w:rsidRDefault="005C5D3C">
      <w:pPr>
        <w:pStyle w:val="Tekstkomentarza"/>
      </w:pPr>
      <w:r>
        <w:rPr>
          <w:rStyle w:val="Odwoaniedokomentarza"/>
        </w:rPr>
        <w:annotationRef/>
      </w:r>
      <w:r>
        <w:t>Może „zachowane” albo „bez zmian”?</w:t>
      </w:r>
      <w:r w:rsidR="004A3A62">
        <w:t xml:space="preserve"> Ale się nie upieram.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28B02E" w15:done="0"/>
  <w15:commentEx w15:paraId="1D24DE87" w15:paraIdParent="0428B02E" w15:done="0"/>
  <w15:commentEx w15:paraId="2FFCAC81" w15:done="0"/>
  <w15:commentEx w15:paraId="25927090" w15:done="0"/>
  <w15:commentEx w15:paraId="1115359E" w15:done="0"/>
  <w15:commentEx w15:paraId="435F91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6C7D" w16cex:dateUtc="2020-06-10T12:28:00Z"/>
  <w16cex:commentExtensible w16cex:durableId="228B6C93" w16cex:dateUtc="2020-06-10T12:28:00Z"/>
  <w16cex:commentExtensible w16cex:durableId="228B6D1D" w16cex:dateUtc="2020-06-10T12:30:00Z"/>
  <w16cex:commentExtensible w16cex:durableId="228B6D56" w16cex:dateUtc="2020-06-10T12:31:00Z"/>
  <w16cex:commentExtensible w16cex:durableId="228B6D79" w16cex:dateUtc="2020-06-10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28B02E" w16cid:durableId="228B6C7D"/>
  <w16cid:commentId w16cid:paraId="1D24DE87" w16cid:durableId="228B6C93"/>
  <w16cid:commentId w16cid:paraId="2FFCAC81" w16cid:durableId="228B6D1D"/>
  <w16cid:commentId w16cid:paraId="25927090" w16cid:durableId="228B6D56"/>
  <w16cid:commentId w16cid:paraId="1115359E" w16cid:durableId="228B6D79"/>
  <w16cid:commentId w16cid:paraId="435F913D" w16cid:durableId="228B6C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5A12" w14:textId="77777777" w:rsidR="0078377B" w:rsidRDefault="0078377B">
      <w:r>
        <w:separator/>
      </w:r>
    </w:p>
  </w:endnote>
  <w:endnote w:type="continuationSeparator" w:id="0">
    <w:p w14:paraId="23140952" w14:textId="77777777" w:rsidR="0078377B" w:rsidRDefault="0078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22115221"/>
      <w:docPartObj>
        <w:docPartGallery w:val="Page Numbers (Bottom of Page)"/>
        <w:docPartUnique/>
      </w:docPartObj>
    </w:sdtPr>
    <w:sdtEndPr/>
    <w:sdtContent>
      <w:p w14:paraId="52170624" w14:textId="77777777" w:rsidR="00E3287D" w:rsidRPr="00084CC8" w:rsidRDefault="00E3287D" w:rsidP="00E3287D">
        <w:pPr>
          <w:pStyle w:val="Stopka"/>
          <w:jc w:val="right"/>
          <w:rPr>
            <w:sz w:val="20"/>
            <w:szCs w:val="20"/>
          </w:rPr>
        </w:pPr>
        <w:r w:rsidRPr="00084CC8">
          <w:rPr>
            <w:sz w:val="20"/>
            <w:szCs w:val="20"/>
          </w:rPr>
          <w:fldChar w:fldCharType="begin"/>
        </w:r>
        <w:r w:rsidRPr="00084CC8">
          <w:rPr>
            <w:sz w:val="20"/>
            <w:szCs w:val="20"/>
          </w:rPr>
          <w:instrText>PAGE   \* MERGEFORMAT</w:instrText>
        </w:r>
        <w:r w:rsidRPr="00084CC8">
          <w:rPr>
            <w:sz w:val="20"/>
            <w:szCs w:val="20"/>
          </w:rPr>
          <w:fldChar w:fldCharType="separate"/>
        </w:r>
        <w:r w:rsidR="004A3A62">
          <w:rPr>
            <w:noProof/>
            <w:sz w:val="20"/>
            <w:szCs w:val="20"/>
          </w:rPr>
          <w:t>2</w:t>
        </w:r>
        <w:r w:rsidRPr="00084CC8">
          <w:rPr>
            <w:sz w:val="20"/>
            <w:szCs w:val="20"/>
          </w:rPr>
          <w:fldChar w:fldCharType="end"/>
        </w:r>
      </w:p>
    </w:sdtContent>
  </w:sdt>
  <w:p w14:paraId="58537C20" w14:textId="2B2E29B5" w:rsidR="00E3287D" w:rsidRPr="00BD1617" w:rsidRDefault="00E3287D" w:rsidP="00E3287D">
    <w:pPr>
      <w:pStyle w:val="Stopka"/>
      <w:pBdr>
        <w:top w:val="single" w:sz="4" w:space="0" w:color="A5A5A5" w:themeColor="background1" w:themeShade="A5"/>
      </w:pBdr>
      <w:rPr>
        <w:i/>
        <w:sz w:val="16"/>
        <w:szCs w:val="16"/>
        <w:lang w:val="en-US"/>
      </w:rPr>
    </w:pPr>
    <w:r w:rsidRPr="00BD1617">
      <w:rPr>
        <w:i/>
        <w:sz w:val="16"/>
        <w:szCs w:val="16"/>
        <w:lang w:val="en-US"/>
      </w:rPr>
      <w:t>Wersja: 01.01.20</w:t>
    </w:r>
    <w:r w:rsidR="0093211E">
      <w:rPr>
        <w:i/>
        <w:sz w:val="16"/>
        <w:szCs w:val="16"/>
        <w:lang w:val="en-US"/>
      </w:rPr>
      <w:t>20</w:t>
    </w:r>
  </w:p>
  <w:p w14:paraId="15CDCACB" w14:textId="77777777" w:rsidR="00E3287D" w:rsidRPr="00CD7B89" w:rsidRDefault="00E3287D" w:rsidP="00E3287D">
    <w:pPr>
      <w:pStyle w:val="Stopka"/>
    </w:pPr>
  </w:p>
  <w:p w14:paraId="12E98831" w14:textId="77777777" w:rsidR="006D7308" w:rsidRDefault="006D730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0337" w14:textId="77777777" w:rsidR="0078377B" w:rsidRDefault="0078377B">
      <w:r>
        <w:separator/>
      </w:r>
    </w:p>
  </w:footnote>
  <w:footnote w:type="continuationSeparator" w:id="0">
    <w:p w14:paraId="0BEED034" w14:textId="77777777" w:rsidR="0078377B" w:rsidRDefault="0078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0AE2" w14:textId="77777777" w:rsidR="00E3287D" w:rsidRDefault="00E3287D" w:rsidP="00E3287D">
    <w:pPr>
      <w:pStyle w:val="Nagwek"/>
      <w:tabs>
        <w:tab w:val="clear" w:pos="4536"/>
        <w:tab w:val="center" w:pos="8222"/>
      </w:tabs>
      <w:ind w:firstLine="426"/>
    </w:pPr>
    <w:r w:rsidRPr="001E0755">
      <w:rPr>
        <w:sz w:val="16"/>
        <w:szCs w:val="16"/>
      </w:rPr>
      <w:t>UMOWA O UŻYTKOWANIU WAGONÓW TOWAROWYCH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ZAŁĄCZNIK 5</w:t>
    </w:r>
  </w:p>
  <w:p w14:paraId="001F5453" w14:textId="77777777" w:rsidR="00E3287D" w:rsidRPr="00355B3C" w:rsidRDefault="00E3287D" w:rsidP="00E3287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656C93" wp14:editId="0802FA8E">
              <wp:simplePos x="0" y="0"/>
              <wp:positionH relativeFrom="column">
                <wp:posOffset>254000</wp:posOffset>
              </wp:positionH>
              <wp:positionV relativeFrom="paragraph">
                <wp:posOffset>10159</wp:posOffset>
              </wp:positionV>
              <wp:extent cx="6267450" cy="0"/>
              <wp:effectExtent l="0" t="0" r="19050" b="19050"/>
              <wp:wrapNone/>
              <wp:docPr id="1" name="Łącznik prostoliniowy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19BA7" id="Łącznik prostoliniowy 37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pt,.8pt" to="51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" strokecolor="#7f7f7f [1612]">
              <o:lock v:ext="edit" shapetype="f"/>
            </v:line>
          </w:pict>
        </mc:Fallback>
      </mc:AlternateContent>
    </w:r>
  </w:p>
  <w:p w14:paraId="4CF2ADEC" w14:textId="77777777" w:rsidR="00E3287D" w:rsidRDefault="00E3287D" w:rsidP="00E3287D">
    <w:pPr>
      <w:pStyle w:val="Nagwek"/>
    </w:pPr>
  </w:p>
  <w:p w14:paraId="1507124D" w14:textId="77777777" w:rsidR="00E3287D" w:rsidRDefault="00E3287D">
    <w:pPr>
      <w:pStyle w:val="Nagwek"/>
    </w:pPr>
  </w:p>
  <w:p w14:paraId="4B55D47C" w14:textId="77777777" w:rsidR="006D7308" w:rsidRDefault="006D730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31D0"/>
    <w:multiLevelType w:val="multilevel"/>
    <w:tmpl w:val="BDC2400C"/>
    <w:lvl w:ilvl="0">
      <w:start w:val="1"/>
      <w:numFmt w:val="upperLetter"/>
      <w:lvlText w:val="%1."/>
      <w:lvlJc w:val="left"/>
      <w:pPr>
        <w:ind w:left="770" w:hanging="25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737" w:hanging="223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106" w:hanging="593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10" w:hanging="593"/>
      </w:pPr>
      <w:rPr>
        <w:rFonts w:hint="default"/>
      </w:rPr>
    </w:lvl>
    <w:lvl w:ilvl="4">
      <w:numFmt w:val="bullet"/>
      <w:lvlText w:val="•"/>
      <w:lvlJc w:val="left"/>
      <w:pPr>
        <w:ind w:left="3321" w:hanging="593"/>
      </w:pPr>
      <w:rPr>
        <w:rFonts w:hint="default"/>
      </w:rPr>
    </w:lvl>
    <w:lvl w:ilvl="5">
      <w:numFmt w:val="bullet"/>
      <w:lvlText w:val="•"/>
      <w:lvlJc w:val="left"/>
      <w:pPr>
        <w:ind w:left="4431" w:hanging="593"/>
      </w:pPr>
      <w:rPr>
        <w:rFonts w:hint="default"/>
      </w:rPr>
    </w:lvl>
    <w:lvl w:ilvl="6">
      <w:numFmt w:val="bullet"/>
      <w:lvlText w:val="•"/>
      <w:lvlJc w:val="left"/>
      <w:pPr>
        <w:ind w:left="5542" w:hanging="593"/>
      </w:pPr>
      <w:rPr>
        <w:rFonts w:hint="default"/>
      </w:rPr>
    </w:lvl>
    <w:lvl w:ilvl="7">
      <w:numFmt w:val="bullet"/>
      <w:lvlText w:val="•"/>
      <w:lvlJc w:val="left"/>
      <w:pPr>
        <w:ind w:left="6652" w:hanging="593"/>
      </w:pPr>
      <w:rPr>
        <w:rFonts w:hint="default"/>
      </w:rPr>
    </w:lvl>
    <w:lvl w:ilvl="8">
      <w:numFmt w:val="bullet"/>
      <w:lvlText w:val="•"/>
      <w:lvlJc w:val="left"/>
      <w:pPr>
        <w:ind w:left="7763" w:hanging="593"/>
      </w:pPr>
      <w:rPr>
        <w:rFonts w:hint="default"/>
      </w:rPr>
    </w:lvl>
  </w:abstractNum>
  <w:abstractNum w:abstractNumId="1" w15:restartNumberingAfterBreak="0">
    <w:nsid w:val="51347F69"/>
    <w:multiLevelType w:val="hybridMultilevel"/>
    <w:tmpl w:val="488A63B0"/>
    <w:lvl w:ilvl="0" w:tplc="BEF08F40">
      <w:start w:val="1"/>
      <w:numFmt w:val="upperRoman"/>
      <w:lvlText w:val="%1."/>
      <w:lvlJc w:val="left"/>
      <w:pPr>
        <w:ind w:left="715" w:hanging="201"/>
        <w:jc w:val="left"/>
      </w:pPr>
      <w:rPr>
        <w:rFonts w:ascii="Arial" w:eastAsia="Arial" w:hAnsi="Arial" w:cs="Arial" w:hint="default"/>
        <w:sz w:val="22"/>
        <w:szCs w:val="22"/>
      </w:rPr>
    </w:lvl>
    <w:lvl w:ilvl="1" w:tplc="2CB6B248">
      <w:start w:val="1"/>
      <w:numFmt w:val="upperLetter"/>
      <w:lvlText w:val="%2."/>
      <w:lvlJc w:val="left"/>
      <w:pPr>
        <w:ind w:left="1105" w:hanging="24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083C3AB4">
      <w:numFmt w:val="bullet"/>
      <w:lvlText w:val="•"/>
      <w:lvlJc w:val="left"/>
      <w:pPr>
        <w:ind w:left="2087" w:hanging="245"/>
      </w:pPr>
      <w:rPr>
        <w:rFonts w:hint="default"/>
      </w:rPr>
    </w:lvl>
    <w:lvl w:ilvl="3" w:tplc="91D2CB1A">
      <w:numFmt w:val="bullet"/>
      <w:lvlText w:val="•"/>
      <w:lvlJc w:val="left"/>
      <w:pPr>
        <w:ind w:left="3074" w:hanging="245"/>
      </w:pPr>
      <w:rPr>
        <w:rFonts w:hint="default"/>
      </w:rPr>
    </w:lvl>
    <w:lvl w:ilvl="4" w:tplc="3D96F694">
      <w:numFmt w:val="bullet"/>
      <w:lvlText w:val="•"/>
      <w:lvlJc w:val="left"/>
      <w:pPr>
        <w:ind w:left="4061" w:hanging="245"/>
      </w:pPr>
      <w:rPr>
        <w:rFonts w:hint="default"/>
      </w:rPr>
    </w:lvl>
    <w:lvl w:ilvl="5" w:tplc="19902818">
      <w:numFmt w:val="bullet"/>
      <w:lvlText w:val="•"/>
      <w:lvlJc w:val="left"/>
      <w:pPr>
        <w:ind w:left="5048" w:hanging="245"/>
      </w:pPr>
      <w:rPr>
        <w:rFonts w:hint="default"/>
      </w:rPr>
    </w:lvl>
    <w:lvl w:ilvl="6" w:tplc="A7C841DE">
      <w:numFmt w:val="bullet"/>
      <w:lvlText w:val="•"/>
      <w:lvlJc w:val="left"/>
      <w:pPr>
        <w:ind w:left="6035" w:hanging="245"/>
      </w:pPr>
      <w:rPr>
        <w:rFonts w:hint="default"/>
      </w:rPr>
    </w:lvl>
    <w:lvl w:ilvl="7" w:tplc="5D48FDCE">
      <w:numFmt w:val="bullet"/>
      <w:lvlText w:val="•"/>
      <w:lvlJc w:val="left"/>
      <w:pPr>
        <w:ind w:left="7022" w:hanging="245"/>
      </w:pPr>
      <w:rPr>
        <w:rFonts w:hint="default"/>
      </w:rPr>
    </w:lvl>
    <w:lvl w:ilvl="8" w:tplc="93549044">
      <w:numFmt w:val="bullet"/>
      <w:lvlText w:val="•"/>
      <w:lvlJc w:val="left"/>
      <w:pPr>
        <w:ind w:left="8010" w:hanging="245"/>
      </w:pPr>
      <w:rPr>
        <w:rFonts w:hint="default"/>
      </w:rPr>
    </w:lvl>
  </w:abstractNum>
  <w:abstractNum w:abstractNumId="2" w15:restartNumberingAfterBreak="0">
    <w:nsid w:val="6C3A3EE0"/>
    <w:multiLevelType w:val="hybridMultilevel"/>
    <w:tmpl w:val="F3EE9E64"/>
    <w:lvl w:ilvl="0" w:tplc="A0BCD590">
      <w:start w:val="2"/>
      <w:numFmt w:val="upperRoman"/>
      <w:lvlText w:val="%1."/>
      <w:lvlJc w:val="left"/>
      <w:pPr>
        <w:ind w:left="781" w:hanging="268"/>
        <w:jc w:val="left"/>
      </w:pPr>
      <w:rPr>
        <w:rFonts w:ascii="Arial" w:eastAsia="Arial" w:hAnsi="Arial" w:cs="Arial" w:hint="default"/>
        <w:sz w:val="22"/>
        <w:szCs w:val="22"/>
      </w:rPr>
    </w:lvl>
    <w:lvl w:ilvl="1" w:tplc="F2F40BE0">
      <w:start w:val="1"/>
      <w:numFmt w:val="decimal"/>
      <w:lvlText w:val="%2."/>
      <w:lvlJc w:val="left"/>
      <w:pPr>
        <w:ind w:left="736" w:hanging="22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9D429B44">
      <w:numFmt w:val="bullet"/>
      <w:lvlText w:val="•"/>
      <w:lvlJc w:val="left"/>
      <w:pPr>
        <w:ind w:left="1802" w:hanging="222"/>
      </w:pPr>
      <w:rPr>
        <w:rFonts w:hint="default"/>
      </w:rPr>
    </w:lvl>
    <w:lvl w:ilvl="3" w:tplc="E4E26936">
      <w:numFmt w:val="bullet"/>
      <w:lvlText w:val="•"/>
      <w:lvlJc w:val="left"/>
      <w:pPr>
        <w:ind w:left="2825" w:hanging="222"/>
      </w:pPr>
      <w:rPr>
        <w:rFonts w:hint="default"/>
      </w:rPr>
    </w:lvl>
    <w:lvl w:ilvl="4" w:tplc="B4EA15A4">
      <w:numFmt w:val="bullet"/>
      <w:lvlText w:val="•"/>
      <w:lvlJc w:val="left"/>
      <w:pPr>
        <w:ind w:left="3848" w:hanging="222"/>
      </w:pPr>
      <w:rPr>
        <w:rFonts w:hint="default"/>
      </w:rPr>
    </w:lvl>
    <w:lvl w:ilvl="5" w:tplc="8624B840">
      <w:numFmt w:val="bullet"/>
      <w:lvlText w:val="•"/>
      <w:lvlJc w:val="left"/>
      <w:pPr>
        <w:ind w:left="4870" w:hanging="222"/>
      </w:pPr>
      <w:rPr>
        <w:rFonts w:hint="default"/>
      </w:rPr>
    </w:lvl>
    <w:lvl w:ilvl="6" w:tplc="17B6F8F4">
      <w:numFmt w:val="bullet"/>
      <w:lvlText w:val="•"/>
      <w:lvlJc w:val="left"/>
      <w:pPr>
        <w:ind w:left="5893" w:hanging="222"/>
      </w:pPr>
      <w:rPr>
        <w:rFonts w:hint="default"/>
      </w:rPr>
    </w:lvl>
    <w:lvl w:ilvl="7" w:tplc="63CE2A60">
      <w:numFmt w:val="bullet"/>
      <w:lvlText w:val="•"/>
      <w:lvlJc w:val="left"/>
      <w:pPr>
        <w:ind w:left="6916" w:hanging="222"/>
      </w:pPr>
      <w:rPr>
        <w:rFonts w:hint="default"/>
      </w:rPr>
    </w:lvl>
    <w:lvl w:ilvl="8" w:tplc="0358A1A8">
      <w:numFmt w:val="bullet"/>
      <w:lvlText w:val="•"/>
      <w:lvlJc w:val="left"/>
      <w:pPr>
        <w:ind w:left="7938" w:hanging="222"/>
      </w:pPr>
      <w:rPr>
        <w:rFonts w:hint="default"/>
      </w:rPr>
    </w:lvl>
  </w:abstractNum>
  <w:abstractNum w:abstractNumId="3" w15:restartNumberingAfterBreak="0">
    <w:nsid w:val="73B070DD"/>
    <w:multiLevelType w:val="hybridMultilevel"/>
    <w:tmpl w:val="23C0CD58"/>
    <w:lvl w:ilvl="0" w:tplc="5CB609B2">
      <w:start w:val="1"/>
      <w:numFmt w:val="decimal"/>
      <w:lvlText w:val="%1."/>
      <w:lvlJc w:val="left"/>
      <w:pPr>
        <w:ind w:left="737" w:hanging="22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04614FA">
      <w:numFmt w:val="bullet"/>
      <w:lvlText w:val="•"/>
      <w:lvlJc w:val="left"/>
      <w:pPr>
        <w:ind w:left="1664" w:hanging="223"/>
      </w:pPr>
      <w:rPr>
        <w:rFonts w:hint="default"/>
      </w:rPr>
    </w:lvl>
    <w:lvl w:ilvl="2" w:tplc="0D4EC3BC">
      <w:numFmt w:val="bullet"/>
      <w:lvlText w:val="•"/>
      <w:lvlJc w:val="left"/>
      <w:pPr>
        <w:ind w:left="2588" w:hanging="223"/>
      </w:pPr>
      <w:rPr>
        <w:rFonts w:hint="default"/>
      </w:rPr>
    </w:lvl>
    <w:lvl w:ilvl="3" w:tplc="7CEE2F42">
      <w:numFmt w:val="bullet"/>
      <w:lvlText w:val="•"/>
      <w:lvlJc w:val="left"/>
      <w:pPr>
        <w:ind w:left="3513" w:hanging="223"/>
      </w:pPr>
      <w:rPr>
        <w:rFonts w:hint="default"/>
      </w:rPr>
    </w:lvl>
    <w:lvl w:ilvl="4" w:tplc="78908FE2">
      <w:numFmt w:val="bullet"/>
      <w:lvlText w:val="•"/>
      <w:lvlJc w:val="left"/>
      <w:pPr>
        <w:ind w:left="4437" w:hanging="223"/>
      </w:pPr>
      <w:rPr>
        <w:rFonts w:hint="default"/>
      </w:rPr>
    </w:lvl>
    <w:lvl w:ilvl="5" w:tplc="5F4AFD20">
      <w:numFmt w:val="bullet"/>
      <w:lvlText w:val="•"/>
      <w:lvlJc w:val="left"/>
      <w:pPr>
        <w:ind w:left="5362" w:hanging="223"/>
      </w:pPr>
      <w:rPr>
        <w:rFonts w:hint="default"/>
      </w:rPr>
    </w:lvl>
    <w:lvl w:ilvl="6" w:tplc="7A94E20A">
      <w:numFmt w:val="bullet"/>
      <w:lvlText w:val="•"/>
      <w:lvlJc w:val="left"/>
      <w:pPr>
        <w:ind w:left="6286" w:hanging="223"/>
      </w:pPr>
      <w:rPr>
        <w:rFonts w:hint="default"/>
      </w:rPr>
    </w:lvl>
    <w:lvl w:ilvl="7" w:tplc="42449B04">
      <w:numFmt w:val="bullet"/>
      <w:lvlText w:val="•"/>
      <w:lvlJc w:val="left"/>
      <w:pPr>
        <w:ind w:left="7211" w:hanging="223"/>
      </w:pPr>
      <w:rPr>
        <w:rFonts w:hint="default"/>
      </w:rPr>
    </w:lvl>
    <w:lvl w:ilvl="8" w:tplc="852A1870">
      <w:numFmt w:val="bullet"/>
      <w:lvlText w:val="•"/>
      <w:lvlJc w:val="left"/>
      <w:pPr>
        <w:ind w:left="8135" w:hanging="22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Gładyga">
    <w15:presenceInfo w15:providerId="Windows Live" w15:userId="3de094c78742c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308"/>
    <w:rsid w:val="00085886"/>
    <w:rsid w:val="00114D92"/>
    <w:rsid w:val="0012493E"/>
    <w:rsid w:val="004314AF"/>
    <w:rsid w:val="004A3A62"/>
    <w:rsid w:val="00514FB7"/>
    <w:rsid w:val="005311C6"/>
    <w:rsid w:val="005C5D3C"/>
    <w:rsid w:val="005E100E"/>
    <w:rsid w:val="006D7308"/>
    <w:rsid w:val="0078377B"/>
    <w:rsid w:val="007E76D4"/>
    <w:rsid w:val="008B5B2C"/>
    <w:rsid w:val="0093211E"/>
    <w:rsid w:val="00960360"/>
    <w:rsid w:val="00A73687"/>
    <w:rsid w:val="00C04750"/>
    <w:rsid w:val="00DB657F"/>
    <w:rsid w:val="00E3287D"/>
    <w:rsid w:val="00E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F4B35"/>
  <w15:docId w15:val="{EA00A64C-5E0E-44AB-94CA-63AFE48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71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ind w:left="330" w:right="835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89"/>
      <w:ind w:left="396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1"/>
    <w:qFormat/>
    <w:pPr>
      <w:ind w:left="110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1"/>
    <w:qFormat/>
    <w:pPr>
      <w:ind w:left="396"/>
      <w:outlineLvl w:val="4"/>
    </w:pPr>
    <w:rPr>
      <w:sz w:val="28"/>
      <w:szCs w:val="28"/>
    </w:rPr>
  </w:style>
  <w:style w:type="paragraph" w:styleId="Nagwek6">
    <w:name w:val="heading 6"/>
    <w:basedOn w:val="Normalny"/>
    <w:uiPriority w:val="1"/>
    <w:qFormat/>
    <w:pPr>
      <w:ind w:left="116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uiPriority w:val="1"/>
    <w:qFormat/>
    <w:pPr>
      <w:spacing w:before="12"/>
      <w:ind w:left="2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sz w:val="24"/>
      <w:szCs w:val="24"/>
    </w:rPr>
  </w:style>
  <w:style w:type="paragraph" w:styleId="Nagwek9">
    <w:name w:val="heading 9"/>
    <w:basedOn w:val="Normalny"/>
    <w:uiPriority w:val="1"/>
    <w:qFormat/>
    <w:pPr>
      <w:ind w:left="43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31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38"/>
      <w:ind w:left="103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14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D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14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D92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D3C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D3C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3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OELSCHLAEGER@uic.org</dc:creator>
  <cp:lastModifiedBy>Maciej Gładyga</cp:lastModifiedBy>
  <cp:revision>4</cp:revision>
  <cp:lastPrinted>2018-04-13T15:45:00Z</cp:lastPrinted>
  <dcterms:created xsi:type="dcterms:W3CDTF">2020-01-14T10:23:00Z</dcterms:created>
  <dcterms:modified xsi:type="dcterms:W3CDTF">2020-06-10T12:33:00Z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2018-03-19T00:00:00Z</vt:filetime>
  </property>
</Properties>
</file>