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CE1B" w14:textId="77777777" w:rsidR="00D9650D" w:rsidRPr="00D9650D" w:rsidRDefault="00D9650D" w:rsidP="00D9650D">
      <w:pPr>
        <w:keepNext/>
        <w:keepLines/>
        <w:spacing w:after="240" w:line="276" w:lineRule="auto"/>
        <w:ind w:left="567" w:hanging="567"/>
        <w:outlineLvl w:val="0"/>
        <w:rPr>
          <w:rFonts w:ascii="Times New Roman" w:eastAsia="Times New Roman" w:hAnsi="Times New Roman" w:cs="Times New Roman"/>
          <w:b/>
          <w:smallCaps/>
          <w:color w:val="004895"/>
          <w:sz w:val="32"/>
          <w:szCs w:val="32"/>
          <w:lang w:eastAsia="pl-PL"/>
        </w:rPr>
      </w:pPr>
      <w:bookmarkStart w:id="0" w:name="_Toc41576771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32"/>
          <w:szCs w:val="32"/>
          <w:lang w:eastAsia="pl-PL"/>
        </w:rPr>
        <w:t>Plan Pracy Izby Gospodarczej Transportu Lądowego w okresie do kolejnego Walnego Zgromadzenia Izby</w:t>
      </w:r>
      <w:bookmarkEnd w:id="0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32"/>
          <w:szCs w:val="32"/>
          <w:lang w:eastAsia="pl-PL"/>
        </w:rPr>
        <w:t xml:space="preserve"> </w:t>
      </w: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026"/>
        <w:gridCol w:w="4909"/>
      </w:tblGrid>
      <w:tr w:rsidR="00D9650D" w:rsidRPr="00D9650D" w14:paraId="01CAF48A" w14:textId="77777777" w:rsidTr="00E16F9A">
        <w:trPr>
          <w:trHeight w:val="557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F8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9D9A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F8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F4D5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F8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920D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b/>
                <w:color w:val="FFFFFF"/>
                <w:sz w:val="24"/>
                <w:szCs w:val="24"/>
                <w:lang w:eastAsia="pl-PL"/>
              </w:rPr>
              <w:t>Sposób realizacji</w:t>
            </w:r>
          </w:p>
        </w:tc>
      </w:tr>
      <w:tr w:rsidR="00D9650D" w:rsidRPr="00D9650D" w14:paraId="2F50B65C" w14:textId="77777777" w:rsidTr="00E16F9A">
        <w:trPr>
          <w:trHeight w:val="271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F054" w14:textId="77777777" w:rsidR="00D9650D" w:rsidRPr="00D9650D" w:rsidRDefault="00D9650D" w:rsidP="00D965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A813" w14:textId="77777777" w:rsidR="00D9650D" w:rsidRPr="00D9650D" w:rsidRDefault="00D9650D" w:rsidP="00D965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BE6B" w14:textId="77777777" w:rsidR="00D9650D" w:rsidRPr="00D9650D" w:rsidRDefault="00D9650D" w:rsidP="00D965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9650D" w:rsidRPr="00D9650D" w14:paraId="71B4569D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B6B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AB3F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Sejmem i Senatem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6EE6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Udział w pracach : </w:t>
            </w:r>
          </w:p>
          <w:p w14:paraId="6A8E2D51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Sejmowej Komisji Infrastruktury;</w:t>
            </w:r>
          </w:p>
          <w:p w14:paraId="6B6D6C5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Senackiej Komisji Infrastruktury;</w:t>
            </w:r>
          </w:p>
          <w:p w14:paraId="5FE33A39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Innych sejmowych i senackich komisji i zespołów w miarę potrzeb</w:t>
            </w:r>
          </w:p>
          <w:p w14:paraId="2B3D8216" w14:textId="77777777" w:rsidR="00D9650D" w:rsidRPr="00D9650D" w:rsidRDefault="00D9650D" w:rsidP="00D9650D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Przygotowywanie opinii i ekspertyz dla parlamentarzystów.</w:t>
            </w:r>
          </w:p>
        </w:tc>
      </w:tr>
      <w:tr w:rsidR="00D9650D" w:rsidRPr="00D9650D" w14:paraId="44FA460A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AFF6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2BA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Współpraca z Ministerstwem Infrastruktury 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D9B0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Współpraca z członkami Kierownictwa resortu oraz Departamentem Kolejnictwa i innymi departamentami w miarę potrzeb: </w:t>
            </w:r>
          </w:p>
          <w:p w14:paraId="23442E40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opiniowanie projektów ustaw związanych z transportem kolejowym i projektów aktów wykonawczych do ustaw; </w:t>
            </w:r>
          </w:p>
          <w:p w14:paraId="09AF03A7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występowanie do Ministra Infrastruktury z propozycjami zmian w ustawach i rozporządzeniach;</w:t>
            </w:r>
          </w:p>
          <w:p w14:paraId="1A2BCC33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udział w pracach </w:t>
            </w: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Ekspertów do spraw działań, mających na celu optymalizację procesu realizacji inwestycji kolejowych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D4592A7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bieżąca współpraca oraz udział w grupach roboczych do rozwiązywania konkretnych problemów;</w:t>
            </w:r>
          </w:p>
          <w:p w14:paraId="1117C725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MI w posiedzeniach Sekcji Branżowych;</w:t>
            </w:r>
          </w:p>
          <w:p w14:paraId="583F8BF0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wystąpienia w sprawie wiążących interpretacji przepisów;</w:t>
            </w:r>
          </w:p>
          <w:p w14:paraId="18E86A8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w sprawach dotyczących strategii i programów w zakresie transportu kolejowego oraz dwustronnej współpracy międzynarodowej;</w:t>
            </w:r>
          </w:p>
          <w:p w14:paraId="274C806F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interwencje w zakresie niekorzystnych zjawisk na rynku kolejowym;</w:t>
            </w:r>
          </w:p>
          <w:p w14:paraId="3CE7FAAA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udział w wydarzeniach organizowanych przez MI w charakterze merytorycznego reprezentanta branży;</w:t>
            </w:r>
          </w:p>
          <w:p w14:paraId="2A882B85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MI w wydarzeniach organizowanych przez IGTL oraz uzyskiwanie patronatu</w:t>
            </w:r>
          </w:p>
        </w:tc>
      </w:tr>
      <w:tr w:rsidR="00D9650D" w:rsidRPr="00D9650D" w14:paraId="1DCD52F0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B45D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  <w:p w14:paraId="35DD3F9C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14:paraId="03DE05C3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C54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UTK</w:t>
            </w:r>
          </w:p>
          <w:p w14:paraId="618F5063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D6E2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na prawach strony w postępowaniach o zatwierdzenie stawek jednostkowych za dostęp do infrastruktury;</w:t>
            </w:r>
          </w:p>
          <w:p w14:paraId="2B3F6BAD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bieżąca współpraca oraz udział w grupach roboczych do rozwiązywania konkretnych problemów;  </w:t>
            </w:r>
          </w:p>
          <w:p w14:paraId="3B12A1F1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wystąpienia w sprawie wiążących interpretacji przepisów;</w:t>
            </w:r>
          </w:p>
          <w:p w14:paraId="54DB6913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interwencje w zakresie niekorzystnych zjawisk na rynku kolejowym;</w:t>
            </w:r>
          </w:p>
          <w:p w14:paraId="005AE588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UTK w posiedzeniach Sekcji Branżowych;</w:t>
            </w:r>
          </w:p>
          <w:p w14:paraId="3A244DE6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UTK w wydarzeniach organizowanych przez IGTL oraz uzyskiwanie patronatu</w:t>
            </w:r>
          </w:p>
        </w:tc>
      </w:tr>
      <w:tr w:rsidR="00D9650D" w:rsidRPr="00D9650D" w14:paraId="6F6D3A4B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960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95E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Współpraca z </w:t>
            </w:r>
          </w:p>
          <w:p w14:paraId="0758B9B3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Transportowym Dozorem Technicznym</w:t>
            </w:r>
          </w:p>
          <w:p w14:paraId="71D8BD26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14:paraId="22DD52B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1BC2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bieżąca współpraca oraz udział w grupach roboczych do rozwiązywania konkretnych problemów;  </w:t>
            </w:r>
          </w:p>
          <w:p w14:paraId="41C79195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wystąpienia w sprawie wiążących interpretacji przepisów;</w:t>
            </w:r>
          </w:p>
          <w:p w14:paraId="2028CC22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interwencje w zakresie niekorzystnych zjawisk na rynku kolejowym;</w:t>
            </w:r>
          </w:p>
          <w:p w14:paraId="582C075F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TDT w posiedzeniach Sekcji Branżowych;</w:t>
            </w:r>
          </w:p>
          <w:p w14:paraId="2C23AB3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przedstawicieli TDT w wydarzeniach organizowanych przez IGTL oraz uzyskiwanie patronatu</w:t>
            </w:r>
          </w:p>
        </w:tc>
      </w:tr>
      <w:tr w:rsidR="00B6592A" w:rsidRPr="00D9650D" w14:paraId="6299B4F9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C3D1" w14:textId="20255F84" w:rsidR="00B6592A" w:rsidRPr="00D9650D" w:rsidRDefault="00B6592A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EF6F" w14:textId="52FE25CB" w:rsidR="00B6592A" w:rsidRPr="00D9650D" w:rsidRDefault="00B6592A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PKBWK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F9C1" w14:textId="77777777" w:rsidR="00B6592A" w:rsidRDefault="00B6592A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spotkania robocze z PKBWK w celu przedyskutowania szeroko pojętej problematyki zaleceń PKBWK dot. zaistniałych wypadków kolejowych</w:t>
            </w:r>
          </w:p>
          <w:p w14:paraId="03C79C9C" w14:textId="097BFD6C" w:rsidR="00B6592A" w:rsidRPr="00B6592A" w:rsidRDefault="00B6592A" w:rsidP="00B6592A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udział przedstawicieli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PKBWK</w:t>
            </w: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 </w:t>
            </w: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posiedzeniach Sekcji Branżowych;</w:t>
            </w:r>
          </w:p>
          <w:p w14:paraId="2AA04C3E" w14:textId="05653213" w:rsidR="00B6592A" w:rsidRPr="00D9650D" w:rsidRDefault="00B6592A" w:rsidP="00B6592A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 xml:space="preserve">udział przedstawicieli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PKBWK</w:t>
            </w: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 </w:t>
            </w:r>
            <w:r w:rsidRPr="00B6592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wydarzeniach organizowanych przez IGTL oraz uzyskiwanie patronatu</w:t>
            </w:r>
          </w:p>
        </w:tc>
      </w:tr>
      <w:tr w:rsidR="00D9650D" w:rsidRPr="00D9650D" w14:paraId="74284E9F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481B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0D3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KIG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2BC1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współpraca w ramach Komitetów działających w strukturach KIG. </w:t>
            </w:r>
          </w:p>
          <w:p w14:paraId="2D0356D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Udział przedstawiciela IGTL w posiedzeniach Rady KIG </w:t>
            </w:r>
          </w:p>
        </w:tc>
      </w:tr>
      <w:tr w:rsidR="00D9650D" w:rsidRPr="00D9650D" w14:paraId="670D7132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310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EE53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innymi krajowymi organizacjami społeczno-gospodarczymi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9C66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Fundacja ProKolej </w:t>
            </w:r>
          </w:p>
          <w:p w14:paraId="5CA8E260" w14:textId="046F8204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ailway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B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usiness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orum</w:t>
            </w:r>
          </w:p>
          <w:p w14:paraId="5601573D" w14:textId="2779F3D2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wiązek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iezależnych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rzewoźników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olejowych</w:t>
            </w:r>
          </w:p>
          <w:p w14:paraId="0C7C9B40" w14:textId="68C502DD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wiązek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gólnopolski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rojektantów i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nżynierów</w:t>
            </w:r>
          </w:p>
          <w:p w14:paraId="235CA2CB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Klaster Luxtorpeda 2.0</w:t>
            </w:r>
          </w:p>
          <w:p w14:paraId="33DE1698" w14:textId="666E92C8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towarzyszenie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nżynierów i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echników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</w:t>
            </w:r>
            <w:r w:rsid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omunikacji </w:t>
            </w: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7F8310" w14:textId="77777777" w:rsidR="002A1173" w:rsidRDefault="002A1173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Stowarzyszenie na rzecz Interoperacyjności i Rozwoju Transportu Szynowego </w:t>
            </w:r>
          </w:p>
          <w:p w14:paraId="5A7574C4" w14:textId="335870EA" w:rsidR="00D9650D" w:rsidRPr="00D9650D" w:rsidRDefault="002A1173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Stowarzyszenie Ekspertów i Menedżerów Transportu Szynowego</w:t>
            </w:r>
          </w:p>
        </w:tc>
      </w:tr>
      <w:tr w:rsidR="00D9650D" w:rsidRPr="00D9650D" w14:paraId="4B6407F5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7DE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FE1A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ze spółkami Grupy PKP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EB5B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spotkania z Zarządami spółek oraz osobami odpowiedzialnymi za zagadnienia będące przedmiotem zainteresowania IGTL </w:t>
            </w:r>
          </w:p>
          <w:p w14:paraId="488EFFF0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w spotkaniach na poziomie sekcji branżowych</w:t>
            </w:r>
          </w:p>
          <w:p w14:paraId="30FD7A06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powoływanie wspólnych grup roboczych</w:t>
            </w:r>
          </w:p>
          <w:p w14:paraId="073EF7DF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wystąpienia interwencyjne</w:t>
            </w:r>
          </w:p>
          <w:p w14:paraId="15B7E8A0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udział w pracach Forum Inwestycyjnego PKP PLK SA </w:t>
            </w:r>
          </w:p>
        </w:tc>
      </w:tr>
      <w:tr w:rsidR="00D9650D" w:rsidRPr="00D9650D" w14:paraId="089416BF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26EE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6C0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Uczestnictwo w ERFA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949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uczestnictwo w posiedzeniach organów ERFA, w tym udział Dyrektora Biura IGTL w pracach Zarządu w roli Wiceprezydenta ERFA</w:t>
            </w:r>
          </w:p>
          <w:p w14:paraId="2CEEE4D4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uczestnictwo w spotkaniach grup roboczych;</w:t>
            </w:r>
          </w:p>
          <w:p w14:paraId="63CD74A7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reprezentowanie ERFA w grupach roboczych przy ERA oraz KE</w:t>
            </w:r>
          </w:p>
          <w:p w14:paraId="5C010A20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przewodniczenie podgrupie roboczej RU Dialogue ds. wdrożenia Aneksu VII do Dyrektywy 34/2012</w:t>
            </w:r>
          </w:p>
          <w:p w14:paraId="2EEE5733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opracowywanie opinii i stanowisk; </w:t>
            </w:r>
          </w:p>
        </w:tc>
      </w:tr>
      <w:tr w:rsidR="00D9650D" w:rsidRPr="00D9650D" w14:paraId="15D70783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6159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638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Współpraca z innymi organizacjami zagranicznymi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3358" w14:textId="26905434" w:rsidR="00D9650D" w:rsidRPr="00D9650D" w:rsidRDefault="002A1173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Dyrekcja Generalna ds. Mobilności i Transportu Komisji Europejskiej (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 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MOVE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7A346486" w14:textId="691EF05A" w:rsidR="00D9650D" w:rsidRPr="00D9650D" w:rsidRDefault="002A1173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Agencja Kolejowa Unii Europejskiej (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ERA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BC87FAE" w14:textId="2A13AB90" w:rsidR="00D9650D" w:rsidRPr="002A1173" w:rsidRDefault="002A1173" w:rsidP="002A1173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A117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Stowarzyszenie Niemieckich Firm Transportowych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(</w:t>
            </w:r>
            <w:r w:rsidR="00D9650D"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VDV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9650D" w:rsidRPr="00D9650D" w14:paraId="6BD1FB98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E322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988B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Udział IGTL w pracach programowych i koncepcyjnych na poziomie administracji rządowej w zakresie dotyczącym transportu kolejowego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FCD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Przygotowywanie opinii i stanowisk Izby do projektów programów rządowych.</w:t>
            </w:r>
          </w:p>
          <w:p w14:paraId="48E09C1E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50D" w:rsidRPr="00D9650D" w14:paraId="664952A8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E81B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14:paraId="37AE579C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14:paraId="3663C2A1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74DA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Kreowanie otoczenia prawnego sprzyjającego prowadzeniu działalności podmiotów gospodarczych skupionych w Izbie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AB49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Wystąpienia do właściwych organów  </w:t>
            </w:r>
          </w:p>
          <w:p w14:paraId="44C8CC10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 sprawach tworzenia, zmiany lub interpretacji przepisów prawa.  </w:t>
            </w:r>
          </w:p>
        </w:tc>
      </w:tr>
      <w:tr w:rsidR="00D9650D" w:rsidRPr="00D9650D" w14:paraId="7B135EC1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F6DC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12 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2B1E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Wystąpienia interwencyjne Izby do organizacji  i instytucji w sprawach zgłaszanych przez jej członków, a dotyczących ochrony interesów firm członkowskich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E587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Interwencje pisemne, bezpośrednie spotkania z decydentami</w:t>
            </w:r>
          </w:p>
        </w:tc>
      </w:tr>
      <w:tr w:rsidR="00D9650D" w:rsidRPr="00D9650D" w14:paraId="58B56495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15EA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78F7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Kształtowanie pozytywnego wizerunku oraz promocja IGTL. </w:t>
            </w:r>
          </w:p>
          <w:p w14:paraId="32AD7618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Działania nakierowane na stworzenie wizerunku IGTL, jako organizacji merytorycznie reprezentującej branżę i posiadającej wpływ na funkcjonowanie sektora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52C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prezentowanie efektów ścisłej współpracy z MI, UTK, IK i PKP PLK SA i innymi instytucjami</w:t>
            </w:r>
          </w:p>
          <w:p w14:paraId="45AD8BBE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organizacja konferencji, seminariów i spotkań, również we współpracy z innymi organizacjami branżowymi;</w:t>
            </w:r>
          </w:p>
          <w:p w14:paraId="2DD6C8DF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konferencja z udziałem gości zagranicznych w drugiej połowie roku;</w:t>
            </w:r>
          </w:p>
          <w:p w14:paraId="23E4EC7A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współpraca z mediami, w tym spoza branży; </w:t>
            </w:r>
          </w:p>
          <w:p w14:paraId="2050D984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aktywność na stronie internetowej i w mediach społecznościowych </w:t>
            </w:r>
          </w:p>
        </w:tc>
      </w:tr>
      <w:tr w:rsidR="00D9650D" w:rsidRPr="00D9650D" w14:paraId="508080AC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9AD8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DD4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Pozyskania nowych członków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044B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rozsyłanie zaproszeń, bezpośrednie kontakty z zarządami firm z branży</w:t>
            </w:r>
          </w:p>
          <w:p w14:paraId="0B7988C4" w14:textId="77777777" w:rsidR="00D9650D" w:rsidRPr="00D9650D" w:rsidRDefault="00D9650D" w:rsidP="00D9650D">
            <w:pPr>
              <w:numPr>
                <w:ilvl w:val="0"/>
                <w:numId w:val="4"/>
              </w:numPr>
              <w:tabs>
                <w:tab w:val="left" w:pos="179"/>
              </w:tabs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 xml:space="preserve">promowanie Izby na targach, konferencjach, </w:t>
            </w:r>
          </w:p>
        </w:tc>
      </w:tr>
      <w:tr w:rsidR="00D9650D" w:rsidRPr="00D9650D" w14:paraId="5CE4A27F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2C89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  <w:p w14:paraId="491A6CBE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A14C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szkoleń/seminariów dla pracowników firm członkowskich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A625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Na podstawie zgłaszanych potrzeb firm członkowskich </w:t>
            </w:r>
          </w:p>
        </w:tc>
      </w:tr>
      <w:tr w:rsidR="00D9650D" w:rsidRPr="00D9650D" w14:paraId="7B7031D2" w14:textId="77777777" w:rsidTr="00E16F9A"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BFCC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D0E5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gospodarczej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CE97" w14:textId="77777777" w:rsidR="00D9650D" w:rsidRPr="00D9650D" w:rsidRDefault="00D9650D" w:rsidP="00D965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9650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Organizowanie odpłatnych szkoleń, konferencji i sympozjów </w:t>
            </w:r>
          </w:p>
        </w:tc>
      </w:tr>
    </w:tbl>
    <w:p w14:paraId="1A34439F" w14:textId="77777777" w:rsidR="00D9650D" w:rsidRPr="00D9650D" w:rsidRDefault="00D9650D" w:rsidP="00D9650D">
      <w:pPr>
        <w:keepNext/>
        <w:keepLines/>
        <w:spacing w:after="120" w:line="30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</w:pPr>
    </w:p>
    <w:p w14:paraId="6212E7D4" w14:textId="77777777" w:rsidR="00D9650D" w:rsidRPr="00D9650D" w:rsidRDefault="00D9650D" w:rsidP="00D9650D">
      <w:pPr>
        <w:keepNext/>
        <w:keepLines/>
        <w:numPr>
          <w:ilvl w:val="0"/>
          <w:numId w:val="5"/>
        </w:numPr>
        <w:spacing w:before="120" w:after="120" w:line="30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</w:pPr>
      <w:bookmarkStart w:id="1" w:name="_Toc41576772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>Sekcja Wagonów i Spedycji</w:t>
      </w:r>
      <w:bookmarkEnd w:id="1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 xml:space="preserve"> </w:t>
      </w:r>
    </w:p>
    <w:p w14:paraId="0A548B48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 związanych z działalnością członków Sekcji oraz udział w organizowanych przez Ministerstwo Infrastruktury konferencjach uzgodnieniowych.</w:t>
      </w:r>
    </w:p>
    <w:p w14:paraId="687005C5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działanie w ramach wdrożenia programu pomocy publicznej obejmującego dostosowanie taboru do TSI Hałas – współpraca z CUPT i ministerstwami przy tworzeniu zasad naboru w konkursie oraz wsparcie członków IGTL w aplikowaniu.  </w:t>
      </w:r>
    </w:p>
    <w:p w14:paraId="2C9A54BF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prac nad jednolitym tłumaczeniem AVV na język polski w ramach utworzonej przez IGTL grupy roboczej.</w:t>
      </w:r>
    </w:p>
    <w:p w14:paraId="37B1F8BB" w14:textId="163EB94E" w:rsid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współpracy z MI, UTK i PKBWK w zakresie zaleceń wydawanych w odniesieniu do ECM.</w:t>
      </w:r>
    </w:p>
    <w:p w14:paraId="7F5793DD" w14:textId="65FA7D73" w:rsidR="00B6592A" w:rsidRPr="00D9650D" w:rsidRDefault="00B6592A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6592A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robocze z PKBWK w celu przedyskutowania szeroko pojętej problematyki zaleceń PKBWK dot. zaistniałych wypadków kolejowych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9FF380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 interpretację przepisów prawnych z obszaru transportu kolejowego.</w:t>
      </w:r>
    </w:p>
    <w:p w14:paraId="304D5FF9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robocze z przedstawicielami MI, MFiPR, UTK, TDT poruszające zagadnienia zgłaszane przez członków Sekcji i mające na celu rozwiązywanie problemów związanych z funkcjonowaniem członków Sekcji.</w:t>
      </w:r>
    </w:p>
    <w:p w14:paraId="2367B192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interwencyjne w sprawach zgłaszanych przez członków Sekcji do właściwych organów.</w:t>
      </w:r>
    </w:p>
    <w:p w14:paraId="5C13E6E9" w14:textId="77777777" w:rsidR="00D9650D" w:rsidRPr="00D9650D" w:rsidRDefault="00D9650D" w:rsidP="00D9650D">
      <w:pPr>
        <w:keepNext/>
        <w:keepLines/>
        <w:spacing w:after="120" w:line="30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</w:pPr>
      <w:bookmarkStart w:id="2" w:name="_Toc41576773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>Sekcja Przewoźników Kolejowych</w:t>
      </w:r>
      <w:bookmarkEnd w:id="2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 xml:space="preserve">  </w:t>
      </w:r>
    </w:p>
    <w:p w14:paraId="028E4D51" w14:textId="77777777" w:rsidR="00D9650D" w:rsidRPr="00D9650D" w:rsidRDefault="00D9650D" w:rsidP="00D9650D">
      <w:pPr>
        <w:keepNext/>
        <w:keepLines/>
        <w:numPr>
          <w:ilvl w:val="0"/>
          <w:numId w:val="8"/>
        </w:numPr>
        <w:spacing w:before="120" w:after="120" w:line="300" w:lineRule="auto"/>
        <w:jc w:val="both"/>
        <w:outlineLvl w:val="2"/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</w:pPr>
      <w:bookmarkStart w:id="3" w:name="_Toc41576774"/>
      <w:bookmarkStart w:id="4" w:name="_Toc8089162"/>
      <w:bookmarkStart w:id="5" w:name="_Toc8090116"/>
      <w:bookmarkStart w:id="6" w:name="_Toc8213267"/>
      <w:r w:rsidRPr="00D9650D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  <w:t>Systemowe rozwiązanie kwestii badań i szkoleń w zawodach kolejowych</w:t>
      </w:r>
      <w:bookmarkEnd w:id="3"/>
      <w:r w:rsidRPr="00D9650D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  <w:t xml:space="preserve"> </w:t>
      </w:r>
    </w:p>
    <w:p w14:paraId="2838D9A5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zainicjowanie szerokiej dyskusji przedstawicieli rynku oraz administracji publicznej na temat zmian w systemie dopuszczania oraz zdobywania i utrzymywania uprawnień w zawodach kolejowych,</w:t>
      </w:r>
    </w:p>
    <w:p w14:paraId="280251C8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wypracowanie propozycji zmian w zakresie wymogów zdrowotnych i systemu badań wstępnych i okresowych, </w:t>
      </w:r>
    </w:p>
    <w:p w14:paraId="7C083108" w14:textId="77777777" w:rsidR="00D9650D" w:rsidRPr="00D9650D" w:rsidRDefault="00D9650D" w:rsidP="00D9650D">
      <w:pPr>
        <w:keepNext/>
        <w:keepLines/>
        <w:numPr>
          <w:ilvl w:val="0"/>
          <w:numId w:val="8"/>
        </w:numPr>
        <w:spacing w:before="120" w:after="120" w:line="300" w:lineRule="auto"/>
        <w:jc w:val="both"/>
        <w:outlineLvl w:val="2"/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</w:pPr>
      <w:bookmarkStart w:id="7" w:name="_Toc41576775"/>
      <w:r w:rsidRPr="00D9650D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  <w:lastRenderedPageBreak/>
        <w:t>Współpraca instytucjonalna</w:t>
      </w:r>
      <w:bookmarkEnd w:id="4"/>
      <w:bookmarkEnd w:id="5"/>
      <w:bookmarkEnd w:id="6"/>
      <w:bookmarkEnd w:id="7"/>
    </w:p>
    <w:p w14:paraId="614DF5C4" w14:textId="77777777" w:rsidR="00D9650D" w:rsidRPr="00D9650D" w:rsidRDefault="00D9650D" w:rsidP="00D9650D">
      <w:pPr>
        <w:keepNext/>
        <w:keepLines/>
        <w:numPr>
          <w:ilvl w:val="0"/>
          <w:numId w:val="7"/>
        </w:numPr>
        <w:spacing w:before="120" w:after="120" w:line="300" w:lineRule="auto"/>
        <w:ind w:left="567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  <w:t>Współpraca z PKP PLK S.A.</w:t>
      </w:r>
    </w:p>
    <w:p w14:paraId="06DA55C5" w14:textId="77777777" w:rsidR="00D9650D" w:rsidRPr="00D9650D" w:rsidRDefault="00D9650D" w:rsidP="00D9650D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rozwiązywania problemów zgłaszanych przez członków Sekcji związanych m.in. z:</w:t>
      </w:r>
    </w:p>
    <w:p w14:paraId="011919D2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ustalania opłat za korzystanie z infrastruktury kolejowej oraz założeniami przyjętymi do konstrukcji cennika,</w:t>
      </w:r>
    </w:p>
    <w:p w14:paraId="3B004A0E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zapewnienia przewoźnikom udziału w tworzeniu Regulaminu przydzielania tras pociągów i korzystania z przydzielonych tras pociągów przez licencjonowanych przewoźników kolejowych i cenników usług.</w:t>
      </w:r>
    </w:p>
    <w:p w14:paraId="1525E0D8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przewozów w okresie wzmożonych prac inwestycyjnych, w tym kwestiami tras objazdowych, kosztów i priorytetu w przyznawaniu przepustowości</w:t>
      </w:r>
    </w:p>
    <w:p w14:paraId="692F70AB" w14:textId="77777777" w:rsidR="00D9650D" w:rsidRPr="00D9650D" w:rsidRDefault="00D9650D" w:rsidP="00D9650D">
      <w:pPr>
        <w:keepNext/>
        <w:keepLines/>
        <w:numPr>
          <w:ilvl w:val="0"/>
          <w:numId w:val="7"/>
        </w:numPr>
        <w:spacing w:before="120" w:after="120" w:line="300" w:lineRule="auto"/>
        <w:ind w:left="567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  <w:t>Współpraca z Ministerstwem Infrastruktury:</w:t>
      </w:r>
    </w:p>
    <w:p w14:paraId="5C0244C8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procesu legislacyjnego aktów normatywnych dotyczących funkcjonowania transportu kolejowego, w tym opiniowanie przesłanych do konsultacji aktów prawnych (np. ustaw rozporządzeń, itp.);</w:t>
      </w:r>
    </w:p>
    <w:p w14:paraId="5E15A5BD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inicjatyw wymagających podjęcia aktywności na poziomie resortu, np. w zakresie problemów z dostępnością zawodu maszynisty, luką pokoleniową, systemem szkoleń, badań wstępnych i okresowych, itd., </w:t>
      </w:r>
    </w:p>
    <w:p w14:paraId="7F8431E0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 interpretację przepisów prawnych z obszaru transportu kolejowego;</w:t>
      </w:r>
    </w:p>
    <w:p w14:paraId="0D7A6600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przedstawicieli Sekcji w organizowanych przez MI zespołach roboczych i spotkaniach;</w:t>
      </w:r>
    </w:p>
    <w:p w14:paraId="2BA7B8C9" w14:textId="77777777" w:rsidR="00D9650D" w:rsidRPr="00D9650D" w:rsidRDefault="00D9650D" w:rsidP="00D9650D">
      <w:pPr>
        <w:keepNext/>
        <w:keepLines/>
        <w:numPr>
          <w:ilvl w:val="0"/>
          <w:numId w:val="7"/>
        </w:numPr>
        <w:spacing w:before="120" w:after="120" w:line="300" w:lineRule="auto"/>
        <w:ind w:left="567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eastAsia="pl-PL"/>
        </w:rPr>
        <w:t>Współpraca z Urzędem Transportu Kolejowego w zakresie:</w:t>
      </w:r>
    </w:p>
    <w:p w14:paraId="5C68C5FE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w charakterze strony w postepowaniach administracyjnych w sprawie zatwierdzenia cennika PKP PLK SA i innych zarządców</w:t>
      </w:r>
    </w:p>
    <w:p w14:paraId="3A808C59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przedstawicieli Sekcji w organizowanych przez UTK zespołach roboczych i spotkaniach;</w:t>
      </w:r>
    </w:p>
    <w:p w14:paraId="7094FB76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 interpretację przepisów prawnych z obszaru transportu kolejowego;</w:t>
      </w:r>
    </w:p>
    <w:p w14:paraId="1E7FC280" w14:textId="77777777" w:rsidR="00D9650D" w:rsidRPr="00D9650D" w:rsidRDefault="00D9650D" w:rsidP="00D9650D">
      <w:pPr>
        <w:keepNext/>
        <w:keepLines/>
        <w:numPr>
          <w:ilvl w:val="0"/>
          <w:numId w:val="8"/>
        </w:numPr>
        <w:spacing w:before="120" w:after="120" w:line="300" w:lineRule="auto"/>
        <w:jc w:val="both"/>
        <w:outlineLvl w:val="2"/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</w:pPr>
      <w:bookmarkStart w:id="8" w:name="_Toc8089163"/>
      <w:bookmarkStart w:id="9" w:name="_Toc8090117"/>
      <w:bookmarkStart w:id="10" w:name="_Toc8213268"/>
      <w:bookmarkStart w:id="11" w:name="_Toc41576776"/>
      <w:r w:rsidRPr="00D9650D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pl-PL"/>
        </w:rPr>
        <w:t>Pozostałe działania</w:t>
      </w:r>
      <w:bookmarkEnd w:id="8"/>
      <w:bookmarkEnd w:id="9"/>
      <w:bookmarkEnd w:id="10"/>
      <w:bookmarkEnd w:id="11"/>
    </w:p>
    <w:p w14:paraId="265559E1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interwencyjne do administracji rządowej oraz innych instytucji w sprawach zgłaszanych przez członków sekcji;</w:t>
      </w:r>
    </w:p>
    <w:p w14:paraId="3365DB1D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Izby i Sekcji w ERFA, w tym reprezentowanie ERFA w grupach roboczych i zespołach zadaniowych przy ERA i KE;</w:t>
      </w:r>
    </w:p>
    <w:p w14:paraId="6593C139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ad hoc grup roboczych do rozwiązywania problemów zgłaszanych przez członków Sekcji;</w:t>
      </w:r>
    </w:p>
    <w:p w14:paraId="706891CE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 nowych członków spośród przewoźników pasażerskich w celu stworzenia podstaw do aktywności IGTL w tym segmencie rynku.</w:t>
      </w:r>
    </w:p>
    <w:p w14:paraId="76AE6D77" w14:textId="77777777" w:rsidR="00D9650D" w:rsidRPr="00D9650D" w:rsidRDefault="00D9650D" w:rsidP="00D9650D">
      <w:pPr>
        <w:keepNext/>
        <w:keepLines/>
        <w:spacing w:after="120" w:line="30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</w:pPr>
      <w:bookmarkStart w:id="12" w:name="_Toc41576777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>Sekcja Budownictwa Kolejowego</w:t>
      </w:r>
      <w:bookmarkEnd w:id="12"/>
      <w:r w:rsidRPr="00D9650D">
        <w:rPr>
          <w:rFonts w:ascii="Times New Roman" w:eastAsia="Times New Roman" w:hAnsi="Times New Roman" w:cs="Times New Roman"/>
          <w:b/>
          <w:smallCaps/>
          <w:color w:val="004895"/>
          <w:sz w:val="28"/>
          <w:szCs w:val="26"/>
          <w:lang w:eastAsia="pl-PL"/>
        </w:rPr>
        <w:t xml:space="preserve"> </w:t>
      </w:r>
    </w:p>
    <w:p w14:paraId="1CAA6226" w14:textId="34975BC1" w:rsidR="00D9650D" w:rsidRDefault="00D9650D" w:rsidP="00D9650D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Członków Zarządu IGTL, Dyrektora Biura oraz przedstawicieli firm członkowskich w pracach Forum Inwestycyjnego oraz Rady Ekspertów. </w:t>
      </w:r>
    </w:p>
    <w:p w14:paraId="2DA7BC74" w14:textId="17DF1E1B" w:rsidR="00E517AF" w:rsidRPr="00D9650D" w:rsidRDefault="00E517AF" w:rsidP="00D9650D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przedstawicieli IGTL w pracach nad nowym wzorem umowy bazowej na realizację inwestycji kolejowych od stycznia 2021.</w:t>
      </w:r>
    </w:p>
    <w:p w14:paraId="4F83FF48" w14:textId="77777777" w:rsidR="00D9650D" w:rsidRPr="00D9650D" w:rsidRDefault="00D9650D" w:rsidP="00D9650D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udział w spotkaniach z przedstawicielami Ministerstwa Infrastruktury, Ministerstwa Funduszy i Polityki Regionalnej, UTK, PKP PLK SA., CUPT oraz Parlamentarzystami, których celem będzie poszukiwanie rozwiązań bieżących problemów dotyczących branży budownictwa kolejowego oraz informowanie członków Sekcji o najistotniejszych wydarzeniach i działaniach administracji mających wpływ na bieżące funkcjonowanie branży.</w:t>
      </w:r>
    </w:p>
    <w:p w14:paraId="15E53ED5" w14:textId="592B7002" w:rsidR="00D9650D" w:rsidRPr="00D9650D" w:rsidRDefault="00D9650D" w:rsidP="00E517AF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członków Sekcji, również w formie seminariów, debat lub konferencji podczas których poruszane będą zagadnienia związane z:</w:t>
      </w:r>
    </w:p>
    <w:p w14:paraId="16A82468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Sytuacją na rynku wykonawstwa kolejowego, w tym kwestią waloryzacji kontraktów</w:t>
      </w:r>
    </w:p>
    <w:p w14:paraId="4B897802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Zamówień Publicznych,</w:t>
      </w:r>
    </w:p>
    <w:p w14:paraId="73CDB07A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Prawem Budowlanym, </w:t>
      </w:r>
    </w:p>
    <w:p w14:paraId="34F82AA9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Regulacjami europejskimi i krajowymi w zakresie interoperacyjności i dopuszczania wyrobów </w:t>
      </w:r>
    </w:p>
    <w:p w14:paraId="2F89766E" w14:textId="77777777" w:rsidR="00D9650D" w:rsidRPr="00D9650D" w:rsidRDefault="00D9650D" w:rsidP="00D9650D">
      <w:pPr>
        <w:numPr>
          <w:ilvl w:val="0"/>
          <w:numId w:val="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Usprawnieniem procesów inwestycyjnych w zakresie modernizacji infrastruktury kolejowej,</w:t>
      </w:r>
    </w:p>
    <w:p w14:paraId="4791160E" w14:textId="711C79B0" w:rsidR="00D9650D" w:rsidRPr="00D9650D" w:rsidRDefault="00D9650D" w:rsidP="00E517AF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w sprawach zgłaszanych przez członków Sekcji.</w:t>
      </w:r>
    </w:p>
    <w:p w14:paraId="2407E47D" w14:textId="533D43D0" w:rsidR="00D9650D" w:rsidRPr="00D9650D" w:rsidRDefault="00D9650D" w:rsidP="00E517AF">
      <w:pPr>
        <w:numPr>
          <w:ilvl w:val="0"/>
          <w:numId w:val="6"/>
        </w:num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zabezpieczenie niedyskryminacyjnych warunków oraz pełnego wykorzystania potencjału polskich firm działających w branży.</w:t>
      </w:r>
      <w:r w:rsidRPr="00D9650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120EE9F" w14:textId="77777777" w:rsidR="00D90017" w:rsidRDefault="00D90017"/>
    <w:sectPr w:rsidR="00D9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03D"/>
    <w:multiLevelType w:val="hybridMultilevel"/>
    <w:tmpl w:val="0E82D2A6"/>
    <w:lvl w:ilvl="0" w:tplc="A10CF03A">
      <w:start w:val="1"/>
      <w:numFmt w:val="bullet"/>
      <w:lvlText w:val="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5AB"/>
    <w:multiLevelType w:val="hybridMultilevel"/>
    <w:tmpl w:val="DCF2E3EA"/>
    <w:lvl w:ilvl="0" w:tplc="36C0B686">
      <w:start w:val="1"/>
      <w:numFmt w:val="decimal"/>
      <w:pStyle w:val="Nagwek2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234"/>
    <w:multiLevelType w:val="hybridMultilevel"/>
    <w:tmpl w:val="FF400588"/>
    <w:lvl w:ilvl="0" w:tplc="9B522278">
      <w:start w:val="1"/>
      <w:numFmt w:val="upperLetter"/>
      <w:pStyle w:val="Nagwek31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15B45EEC"/>
    <w:multiLevelType w:val="hybridMultilevel"/>
    <w:tmpl w:val="69A44922"/>
    <w:lvl w:ilvl="0" w:tplc="4F8E4F28">
      <w:start w:val="1"/>
      <w:numFmt w:val="lowerLetter"/>
      <w:pStyle w:val="Nagwek4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C91"/>
    <w:multiLevelType w:val="hybridMultilevel"/>
    <w:tmpl w:val="C22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48DA"/>
    <w:multiLevelType w:val="hybridMultilevel"/>
    <w:tmpl w:val="0B40F820"/>
    <w:lvl w:ilvl="0" w:tplc="A10CF0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E"/>
    <w:rsid w:val="000E0833"/>
    <w:rsid w:val="002A1173"/>
    <w:rsid w:val="006E59BE"/>
    <w:rsid w:val="00B6592A"/>
    <w:rsid w:val="00D90017"/>
    <w:rsid w:val="00D9650D"/>
    <w:rsid w:val="00E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51D"/>
  <w15:chartTrackingRefBased/>
  <w15:docId w15:val="{9FD681F6-7FF7-4FBF-81A9-41F64F16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uiPriority w:val="9"/>
    <w:unhideWhenUsed/>
    <w:qFormat/>
    <w:rsid w:val="00D9650D"/>
    <w:pPr>
      <w:keepNext/>
      <w:keepLines/>
      <w:numPr>
        <w:numId w:val="1"/>
      </w:numPr>
      <w:spacing w:after="120" w:line="30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4895"/>
      <w:sz w:val="28"/>
      <w:szCs w:val="26"/>
      <w:lang w:eastAsia="pl-PL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D9650D"/>
    <w:pPr>
      <w:keepNext/>
      <w:keepLines/>
      <w:numPr>
        <w:numId w:val="2"/>
      </w:numPr>
      <w:tabs>
        <w:tab w:val="num" w:pos="360"/>
      </w:tabs>
      <w:spacing w:before="120" w:after="120" w:line="30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color w:val="1F4D78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9650D"/>
    <w:pPr>
      <w:keepNext/>
      <w:keepLines/>
      <w:numPr>
        <w:numId w:val="3"/>
      </w:numPr>
      <w:tabs>
        <w:tab w:val="num" w:pos="360"/>
      </w:tabs>
      <w:spacing w:before="120" w:after="120" w:line="30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i/>
      <w:iCs/>
      <w:color w:val="2E74B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6</cp:revision>
  <dcterms:created xsi:type="dcterms:W3CDTF">2020-06-01T06:49:00Z</dcterms:created>
  <dcterms:modified xsi:type="dcterms:W3CDTF">2020-06-01T10:06:00Z</dcterms:modified>
</cp:coreProperties>
</file>