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9" w:rsidRPr="0007696D" w:rsidRDefault="00532D59" w:rsidP="00532D59">
      <w:pPr>
        <w:pStyle w:val="OZNPROJEKTUwskazaniedatylubwersjiprojektu"/>
      </w:pPr>
      <w:r>
        <w:t>Projekt z dnia 27</w:t>
      </w:r>
      <w:r w:rsidRPr="0007696D">
        <w:t>.12.2017 r.</w:t>
      </w:r>
    </w:p>
    <w:p w:rsidR="00532D59" w:rsidRPr="0007696D" w:rsidRDefault="00532D59" w:rsidP="00532D59">
      <w:pPr>
        <w:pStyle w:val="OZNRODZAKTUtznustawalubrozporzdzenieiorganwydajcy"/>
      </w:pPr>
      <w:r w:rsidRPr="0007696D">
        <w:t>ROZPORZĄDZENIE</w:t>
      </w:r>
    </w:p>
    <w:p w:rsidR="00532D59" w:rsidRPr="0007696D" w:rsidRDefault="00532D59" w:rsidP="00532D59">
      <w:pPr>
        <w:pStyle w:val="OZNRODZAKTUtznustawalubrozporzdzenieiorganwydajcy"/>
      </w:pPr>
      <w:r w:rsidRPr="0007696D">
        <w:t>MINISTRA INFRASTRUKTURY I BUDOWNICTWA</w:t>
      </w:r>
      <w:r w:rsidRPr="0007696D">
        <w:rPr>
          <w:rStyle w:val="IGindeksgrny"/>
        </w:rPr>
        <w:footnoteReference w:id="1"/>
      </w:r>
      <w:r w:rsidRPr="0007696D">
        <w:rPr>
          <w:rStyle w:val="IGindeksgrny"/>
        </w:rPr>
        <w:t>)</w:t>
      </w:r>
    </w:p>
    <w:p w:rsidR="00532D59" w:rsidRPr="0007696D" w:rsidRDefault="00532D59" w:rsidP="00532D59">
      <w:pPr>
        <w:pStyle w:val="DATAAKTUdatauchwalenialubwydaniaaktu"/>
      </w:pPr>
      <w:r w:rsidRPr="0007696D">
        <w:t>z dnia …………………..</w:t>
      </w:r>
    </w:p>
    <w:p w:rsidR="00532D59" w:rsidRPr="0007696D" w:rsidRDefault="00532D59" w:rsidP="00532D59">
      <w:pPr>
        <w:pStyle w:val="TYTUAKTUprzedmiotregulacjiustawylubrozporzdzenia"/>
      </w:pPr>
      <w:r w:rsidRPr="0007696D">
        <w:t>zmieniające rozporządzenie w sprawie warunków technicznych, jakim powinny odpowiadać budowle kolejowe i ich usytuowanie</w:t>
      </w:r>
    </w:p>
    <w:p w:rsidR="00532D59" w:rsidRPr="0007696D" w:rsidRDefault="00532D59" w:rsidP="00532D59">
      <w:pPr>
        <w:pStyle w:val="NIEARTTEKSTtekstnieartykuowanynppodstprawnarozplubpreambua"/>
      </w:pPr>
      <w:r w:rsidRPr="0007696D">
        <w:t>Na podstawie art. 7 ust. 2 pkt 2 ustawy z dnia 7 lipca 1994 r. – Prawo budowlane (Dz. U. z 2017</w:t>
      </w:r>
      <w:r>
        <w:t> </w:t>
      </w:r>
      <w:r w:rsidRPr="0007696D">
        <w:t>r. poz. 1332 i 1529), zarządza się, co następuje:</w:t>
      </w:r>
    </w:p>
    <w:p w:rsidR="00532D59" w:rsidRPr="0007696D" w:rsidRDefault="00532D59" w:rsidP="00532D59">
      <w:pPr>
        <w:pStyle w:val="ARTartustawynprozporzdzenia"/>
        <w:keepNext/>
      </w:pPr>
      <w:r w:rsidRPr="0007696D">
        <w:rPr>
          <w:rStyle w:val="Ppogrubienie"/>
        </w:rPr>
        <w:t>§ 1.</w:t>
      </w:r>
      <w:r>
        <w:t> </w:t>
      </w:r>
      <w:r w:rsidRPr="0007696D">
        <w:t>W rozporządzeniu Ministra Transportu i Gospodarki Morskiej z dnia 10 września 1998 r. w sprawie warunków technicznych, jakim powinny odpowiadać budowle kolejowe i ich usytuowanie (Dz. U. poz. 987</w:t>
      </w:r>
      <w:r>
        <w:t xml:space="preserve"> oraz z 2014 r. poz. 867</w:t>
      </w:r>
      <w:r w:rsidRPr="0007696D">
        <w:t>) wprowadza się następujące zmiany:</w:t>
      </w:r>
    </w:p>
    <w:p w:rsidR="00532D59" w:rsidRPr="0007696D" w:rsidRDefault="00532D59" w:rsidP="00532D59">
      <w:pPr>
        <w:pStyle w:val="PKTpunkt"/>
        <w:keepNext/>
      </w:pPr>
      <w:r w:rsidRPr="0007696D">
        <w:t>1)</w:t>
      </w:r>
      <w:r>
        <w:tab/>
      </w:r>
      <w:r w:rsidRPr="0007696D">
        <w:t>po § 2 dodaje się § 2a w brzmieniu:</w:t>
      </w:r>
    </w:p>
    <w:p w:rsidR="00532D59" w:rsidRDefault="00532D59" w:rsidP="00532D59">
      <w:pPr>
        <w:pStyle w:val="ZARTzmartartykuempunktem"/>
      </w:pPr>
      <w:r>
        <w:t>„</w:t>
      </w:r>
      <w:r w:rsidRPr="0007696D">
        <w:t>§</w:t>
      </w:r>
      <w:r>
        <w:t> </w:t>
      </w:r>
      <w:r w:rsidRPr="0007696D">
        <w:t>2a.</w:t>
      </w:r>
      <w:r>
        <w:t>1. </w:t>
      </w:r>
      <w:r w:rsidRPr="0007696D">
        <w:t>Dla budowli kolejowych wchodzących w skład podsystemów strukturalnych w rozumieniu ustawy z dnia 28 marca 2003</w:t>
      </w:r>
      <w:r>
        <w:t xml:space="preserve"> </w:t>
      </w:r>
      <w:r w:rsidRPr="0007696D">
        <w:t>r. o transporcie kolejowym (Dz. U. z 2017</w:t>
      </w:r>
      <w:r>
        <w:t xml:space="preserve"> </w:t>
      </w:r>
      <w:r w:rsidRPr="0007696D">
        <w:t>r. poz. 2117</w:t>
      </w:r>
      <w:r>
        <w:t xml:space="preserve"> i 2361</w:t>
      </w:r>
      <w:r w:rsidRPr="0007696D">
        <w:t>), objętych zasadniczymi wymaganiami dotyczącymi interoperacyjności systemu kolei, uwzględnia się warunki techniczne określone w technicznych specyfikacjach interoperacyjności stanowiących załączniki do bezpośrednio stosowanych aktów prawa Unii Europejskiej.</w:t>
      </w:r>
    </w:p>
    <w:p w:rsidR="00532D59" w:rsidRPr="0007696D" w:rsidRDefault="00532D59" w:rsidP="00532D59">
      <w:pPr>
        <w:pStyle w:val="ZARTzmartartykuempunktem"/>
      </w:pPr>
      <w:r>
        <w:t xml:space="preserve">2. </w:t>
      </w:r>
      <w:r w:rsidRPr="007E7A1F">
        <w:t>Przy projektowaniu i robotach budowlanych budowli kolejowych, o których mowa w ust. 1, uwzględnia się systemy zarządzania bezpieczeństwem stosowane u zarządców infrastruktury.</w:t>
      </w:r>
      <w:r>
        <w:t>”</w:t>
      </w:r>
      <w:r w:rsidRPr="0007696D">
        <w:t>;</w:t>
      </w:r>
    </w:p>
    <w:p w:rsidR="00532D59" w:rsidRPr="0007696D" w:rsidRDefault="00532D59" w:rsidP="00532D59">
      <w:pPr>
        <w:pStyle w:val="PKTpunkt"/>
        <w:keepNext/>
      </w:pPr>
      <w:r w:rsidRPr="0007696D">
        <w:t>2)</w:t>
      </w:r>
      <w:r>
        <w:tab/>
      </w:r>
      <w:r w:rsidRPr="0007696D">
        <w:t>w § 13:</w:t>
      </w:r>
    </w:p>
    <w:p w:rsidR="00532D59" w:rsidRDefault="00532D59" w:rsidP="00532D59">
      <w:pPr>
        <w:pStyle w:val="LITlitera"/>
      </w:pPr>
      <w:r w:rsidRPr="0007696D">
        <w:t>a)</w:t>
      </w:r>
      <w:r>
        <w:tab/>
      </w:r>
      <w:r w:rsidRPr="0007696D">
        <w:t xml:space="preserve">w ust. 2 Tabela 3.1 </w:t>
      </w:r>
      <w:r>
        <w:t>„</w:t>
      </w:r>
      <w:r w:rsidRPr="0007696D">
        <w:t>Parametry eksploatacyjne linii kolejowych</w:t>
      </w:r>
      <w:r>
        <w:t>”</w:t>
      </w:r>
      <w:r w:rsidRPr="0007696D">
        <w:t xml:space="preserve"> otrzymuje brzmienie:</w:t>
      </w:r>
    </w:p>
    <w:p w:rsidR="00532D59" w:rsidRDefault="00532D59" w:rsidP="00532D59">
      <w:pPr>
        <w:pStyle w:val="TYTTABELItytutabeli"/>
      </w:pPr>
      <w:r w:rsidRPr="0007696D">
        <w:t>Parametry eksploatacyjne linii kolejowych</w:t>
      </w:r>
    </w:p>
    <w:p w:rsidR="00532D59" w:rsidRDefault="00532D59" w:rsidP="00532D59">
      <w:pPr>
        <w:pStyle w:val="LITlitera"/>
        <w:ind w:left="0" w:firstLine="0"/>
      </w:pPr>
    </w:p>
    <w:tbl>
      <w:tblPr>
        <w:tblStyle w:val="TABELA1zszablonu"/>
        <w:tblpPr w:leftFromText="141" w:rightFromText="141" w:horzAnchor="margin" w:tblpXSpec="center" w:tblpY="-225"/>
        <w:tblW w:w="5000" w:type="pct"/>
        <w:tblLook w:val="04A0" w:firstRow="1" w:lastRow="0" w:firstColumn="1" w:lastColumn="0" w:noHBand="0" w:noVBand="1"/>
      </w:tblPr>
      <w:tblGrid>
        <w:gridCol w:w="544"/>
        <w:gridCol w:w="1993"/>
        <w:gridCol w:w="1891"/>
        <w:gridCol w:w="2441"/>
        <w:gridCol w:w="2419"/>
      </w:tblGrid>
      <w:tr w:rsidR="00532D59" w:rsidRPr="00CA2104" w:rsidTr="00DE0359">
        <w:trPr>
          <w:trHeight w:val="777"/>
        </w:trPr>
        <w:tc>
          <w:tcPr>
            <w:tcW w:w="293" w:type="pct"/>
          </w:tcPr>
          <w:p w:rsidR="00532D59" w:rsidRPr="00AE255E" w:rsidRDefault="00532D59" w:rsidP="00DE0359">
            <w:r w:rsidRPr="00AE255E">
              <w:lastRenderedPageBreak/>
              <w:t>Lp.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Kategoria linii kolejowej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Obciążenie przewozami T [</w:t>
            </w:r>
            <w:proofErr w:type="spellStart"/>
            <w:r w:rsidRPr="00AE255E">
              <w:t>Tg</w:t>
            </w:r>
            <w:proofErr w:type="spellEnd"/>
            <w:r w:rsidRPr="00AE255E">
              <w:t>/rok]</w:t>
            </w:r>
          </w:p>
        </w:tc>
        <w:tc>
          <w:tcPr>
            <w:tcW w:w="1314" w:type="pct"/>
          </w:tcPr>
          <w:p w:rsidR="00532D59" w:rsidRPr="00AE255E" w:rsidRDefault="00532D59" w:rsidP="00DE0359">
            <w:r w:rsidRPr="00AE255E">
              <w:t xml:space="preserve">Prędkość maksymalna pociągów pasażerskich </w:t>
            </w:r>
            <w:proofErr w:type="spellStart"/>
            <w:r w:rsidRPr="00AE255E"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[km/h]</w:t>
            </w:r>
          </w:p>
        </w:tc>
        <w:tc>
          <w:tcPr>
            <w:tcW w:w="1302" w:type="pct"/>
          </w:tcPr>
          <w:p w:rsidR="00532D59" w:rsidRPr="00AE255E" w:rsidRDefault="00532D59" w:rsidP="00DE0359">
            <w:r w:rsidRPr="00AE255E">
              <w:t xml:space="preserve">Prędkość maksymalna </w:t>
            </w:r>
            <w:r>
              <w:t>p</w:t>
            </w:r>
            <w:r w:rsidRPr="00AE255E">
              <w:t xml:space="preserve">ociągów towarowych </w:t>
            </w:r>
            <w:proofErr w:type="spellStart"/>
            <w:r w:rsidRPr="00AE255E"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C56EF0">
              <w:rPr>
                <w:rStyle w:val="IDindeksdolny"/>
              </w:rPr>
              <w:t xml:space="preserve"> </w:t>
            </w:r>
            <w:r w:rsidRPr="00AE255E">
              <w:t>[km/h]</w:t>
            </w:r>
          </w:p>
        </w:tc>
      </w:tr>
      <w:tr w:rsidR="00532D59" w:rsidRPr="00CA2104" w:rsidTr="00DE0359">
        <w:trPr>
          <w:trHeight w:val="378"/>
        </w:trPr>
        <w:tc>
          <w:tcPr>
            <w:tcW w:w="293" w:type="pct"/>
          </w:tcPr>
          <w:p w:rsidR="00532D59" w:rsidRPr="00AE255E" w:rsidRDefault="00532D59" w:rsidP="00DE0359">
            <w:r w:rsidRPr="00AE255E">
              <w:t>1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2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3</w:t>
            </w:r>
          </w:p>
        </w:tc>
        <w:tc>
          <w:tcPr>
            <w:tcW w:w="1314" w:type="pct"/>
          </w:tcPr>
          <w:p w:rsidR="00532D59" w:rsidRPr="00AE255E" w:rsidRDefault="00532D59" w:rsidP="00DE0359">
            <w:r w:rsidRPr="00AE255E">
              <w:t>4</w:t>
            </w:r>
          </w:p>
        </w:tc>
        <w:tc>
          <w:tcPr>
            <w:tcW w:w="1302" w:type="pct"/>
          </w:tcPr>
          <w:p w:rsidR="00532D59" w:rsidRPr="00AE255E" w:rsidRDefault="00532D59" w:rsidP="00DE0359">
            <w:r w:rsidRPr="00AE255E">
              <w:t>5</w:t>
            </w:r>
          </w:p>
        </w:tc>
      </w:tr>
      <w:tr w:rsidR="00532D59" w:rsidRPr="00CA2104" w:rsidTr="00DE0359">
        <w:trPr>
          <w:trHeight w:val="378"/>
        </w:trPr>
        <w:tc>
          <w:tcPr>
            <w:tcW w:w="293" w:type="pct"/>
          </w:tcPr>
          <w:p w:rsidR="00532D59" w:rsidRPr="00AE255E" w:rsidRDefault="00532D59" w:rsidP="00DE0359">
            <w:r w:rsidRPr="00AE255E">
              <w:t>1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Magistralne (0)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T ≥ 25</w:t>
            </w:r>
          </w:p>
        </w:tc>
        <w:tc>
          <w:tcPr>
            <w:tcW w:w="1314" w:type="pct"/>
          </w:tcPr>
          <w:p w:rsidR="00532D59" w:rsidRPr="00AE255E" w:rsidRDefault="00532D59" w:rsidP="00DE0359">
            <w:r>
              <w:t xml:space="preserve">120 &lt; 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250</w:t>
            </w:r>
          </w:p>
        </w:tc>
        <w:tc>
          <w:tcPr>
            <w:tcW w:w="1302" w:type="pct"/>
          </w:tcPr>
          <w:p w:rsidR="00532D59" w:rsidRPr="00AE255E" w:rsidRDefault="00532D59" w:rsidP="00DE0359">
            <w:r>
              <w:t xml:space="preserve">80 &lt; 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120</w:t>
            </w:r>
          </w:p>
        </w:tc>
      </w:tr>
      <w:tr w:rsidR="00532D59" w:rsidRPr="00CA2104" w:rsidTr="00DE0359">
        <w:trPr>
          <w:trHeight w:val="378"/>
        </w:trPr>
        <w:tc>
          <w:tcPr>
            <w:tcW w:w="293" w:type="pct"/>
          </w:tcPr>
          <w:p w:rsidR="00532D59" w:rsidRPr="00AE255E" w:rsidRDefault="00532D59" w:rsidP="00DE0359">
            <w:r w:rsidRPr="00AE255E">
              <w:t>2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Pierwszorzędne (1)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10 ≤ T &lt; 25</w:t>
            </w:r>
          </w:p>
        </w:tc>
        <w:tc>
          <w:tcPr>
            <w:tcW w:w="1314" w:type="pct"/>
          </w:tcPr>
          <w:p w:rsidR="00532D59" w:rsidRPr="00AE255E" w:rsidRDefault="00532D59" w:rsidP="00DE0359">
            <w:r>
              <w:t xml:space="preserve">80 &lt; 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120</w:t>
            </w:r>
          </w:p>
        </w:tc>
        <w:tc>
          <w:tcPr>
            <w:tcW w:w="1302" w:type="pct"/>
          </w:tcPr>
          <w:p w:rsidR="00532D59" w:rsidRPr="00AE255E" w:rsidRDefault="00532D59" w:rsidP="00DE0359">
            <w:r>
              <w:t xml:space="preserve">60 &lt; 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80</w:t>
            </w:r>
          </w:p>
        </w:tc>
      </w:tr>
      <w:tr w:rsidR="00532D59" w:rsidRPr="00CA2104" w:rsidTr="00DE0359">
        <w:trPr>
          <w:trHeight w:val="378"/>
        </w:trPr>
        <w:tc>
          <w:tcPr>
            <w:tcW w:w="293" w:type="pct"/>
          </w:tcPr>
          <w:p w:rsidR="00532D59" w:rsidRPr="00AE255E" w:rsidRDefault="00532D59" w:rsidP="00DE0359">
            <w:r w:rsidRPr="00AE255E">
              <w:t>3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Drugorzędne (2)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3 ≤ T &lt; 10</w:t>
            </w:r>
          </w:p>
        </w:tc>
        <w:tc>
          <w:tcPr>
            <w:tcW w:w="1314" w:type="pct"/>
          </w:tcPr>
          <w:p w:rsidR="00532D59" w:rsidRPr="00AE255E" w:rsidRDefault="00532D59" w:rsidP="00DE0359">
            <w:r>
              <w:t xml:space="preserve">60 &lt; 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80</w:t>
            </w:r>
          </w:p>
        </w:tc>
        <w:tc>
          <w:tcPr>
            <w:tcW w:w="1302" w:type="pct"/>
          </w:tcPr>
          <w:p w:rsidR="00532D59" w:rsidRPr="00AE255E" w:rsidRDefault="00532D59" w:rsidP="00DE0359">
            <w:r>
              <w:t>50 &lt;</w:t>
            </w:r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60</w:t>
            </w:r>
          </w:p>
        </w:tc>
      </w:tr>
      <w:tr w:rsidR="00532D59" w:rsidRPr="00CA2104" w:rsidTr="00DE0359">
        <w:trPr>
          <w:trHeight w:val="399"/>
        </w:trPr>
        <w:tc>
          <w:tcPr>
            <w:tcW w:w="293" w:type="pct"/>
          </w:tcPr>
          <w:p w:rsidR="00532D59" w:rsidRPr="00AE255E" w:rsidRDefault="00532D59" w:rsidP="00DE0359">
            <w:r w:rsidRPr="00AE255E">
              <w:t>4</w:t>
            </w:r>
          </w:p>
        </w:tc>
        <w:tc>
          <w:tcPr>
            <w:tcW w:w="1073" w:type="pct"/>
          </w:tcPr>
          <w:p w:rsidR="00532D59" w:rsidRPr="00AE255E" w:rsidRDefault="00532D59" w:rsidP="00DE0359">
            <w:r w:rsidRPr="00AE255E">
              <w:t>Znaczenia miejscowego (3)</w:t>
            </w:r>
          </w:p>
        </w:tc>
        <w:tc>
          <w:tcPr>
            <w:tcW w:w="1018" w:type="pct"/>
          </w:tcPr>
          <w:p w:rsidR="00532D59" w:rsidRPr="00AE255E" w:rsidRDefault="00532D59" w:rsidP="00DE0359">
            <w:r w:rsidRPr="00AE255E">
              <w:t>T &lt; 3</w:t>
            </w:r>
          </w:p>
        </w:tc>
        <w:tc>
          <w:tcPr>
            <w:tcW w:w="1314" w:type="pct"/>
          </w:tcPr>
          <w:p w:rsidR="00532D59" w:rsidRPr="00AE255E" w:rsidRDefault="00532D59" w:rsidP="00DE0359"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60</w:t>
            </w:r>
          </w:p>
        </w:tc>
        <w:tc>
          <w:tcPr>
            <w:tcW w:w="1302" w:type="pct"/>
          </w:tcPr>
          <w:p w:rsidR="00532D59" w:rsidRPr="00AE255E" w:rsidRDefault="00532D59" w:rsidP="00DE0359">
            <w:proofErr w:type="spellStart"/>
            <w:r>
              <w:t>V</w:t>
            </w:r>
            <w:r w:rsidRPr="00C56EF0">
              <w:rPr>
                <w:rStyle w:val="IDindeksdolny"/>
              </w:rPr>
              <w:t>max</w:t>
            </w:r>
            <w:proofErr w:type="spellEnd"/>
            <w:r w:rsidRPr="00AE255E">
              <w:t xml:space="preserve"> ≤ 50</w:t>
            </w:r>
          </w:p>
        </w:tc>
      </w:tr>
    </w:tbl>
    <w:p w:rsidR="00532D59" w:rsidRPr="0007696D" w:rsidRDefault="00532D59" w:rsidP="00532D59"/>
    <w:p w:rsidR="00532D59" w:rsidRPr="0007696D" w:rsidRDefault="00532D59" w:rsidP="00532D59">
      <w:pPr>
        <w:pStyle w:val="LITlitera"/>
        <w:keepNext/>
      </w:pPr>
      <w:r w:rsidRPr="0007696D">
        <w:t>b)</w:t>
      </w:r>
      <w:r>
        <w:tab/>
      </w:r>
      <w:r w:rsidRPr="0007696D">
        <w:t>dodaje się ust. 5 w brzmieniu:</w:t>
      </w:r>
    </w:p>
    <w:p w:rsidR="00532D59" w:rsidRPr="0007696D" w:rsidRDefault="00532D59" w:rsidP="00532D59">
      <w:pPr>
        <w:pStyle w:val="ZLITUSTzmustliter"/>
      </w:pPr>
      <w:r>
        <w:t>„</w:t>
      </w:r>
      <w:r w:rsidRPr="0007696D">
        <w:t>5.</w:t>
      </w:r>
      <w:r>
        <w:t> </w:t>
      </w:r>
      <w:r w:rsidRPr="0007696D">
        <w:t xml:space="preserve">W odniesieniu do budowli kolejowych, o których mowa w § 2a, stosuje się także kategorie linii, o których mowa w pkt 4.2.1. </w:t>
      </w:r>
      <w:r>
        <w:t>„</w:t>
      </w:r>
      <w:r w:rsidRPr="0007696D">
        <w:t>Kategorie linii według TSI</w:t>
      </w:r>
      <w:r>
        <w:t>”</w:t>
      </w:r>
      <w:r w:rsidRPr="0007696D">
        <w:t xml:space="preserve"> załącznika do rozporządzenia Komisji (UE) nr 1299/2014 z dnia 18 listopada 2014</w:t>
      </w:r>
      <w:r>
        <w:t> </w:t>
      </w:r>
      <w:r w:rsidRPr="0007696D">
        <w:t xml:space="preserve">r. dotyczącego technicznych specyfikacji interoperacyjności podsystemu </w:t>
      </w:r>
      <w:r>
        <w:t>„</w:t>
      </w:r>
      <w:r w:rsidRPr="0007696D">
        <w:t>Infrastruktura</w:t>
      </w:r>
      <w:r>
        <w:t>”</w:t>
      </w:r>
      <w:r w:rsidRPr="0007696D">
        <w:t xml:space="preserve"> systemu kolei w Unii Europejskiej (Dz. Urz. UE L 356 z 12.12.2014, str. 1, Dz. Urz. UE L 228 z 02.09.2015, str. 15).</w:t>
      </w:r>
      <w:r>
        <w:t>”</w:t>
      </w:r>
      <w:r w:rsidRPr="0007696D">
        <w:t>;</w:t>
      </w:r>
    </w:p>
    <w:p w:rsidR="00532D59" w:rsidRPr="0007696D" w:rsidRDefault="00532D59" w:rsidP="00532D59">
      <w:pPr>
        <w:pStyle w:val="PKTpunkt"/>
      </w:pPr>
      <w:r w:rsidRPr="0007696D">
        <w:t>3)</w:t>
      </w:r>
      <w:r>
        <w:tab/>
      </w:r>
      <w:r w:rsidRPr="0007696D">
        <w:t xml:space="preserve">w § 15 w ust. 5 w Tabeli 3.2 </w:t>
      </w:r>
      <w:r>
        <w:t>„</w:t>
      </w:r>
      <w:r w:rsidRPr="0007696D">
        <w:t>Warunki klasyfikacji torów kolejowych</w:t>
      </w:r>
      <w:r>
        <w:t>”</w:t>
      </w:r>
      <w:r w:rsidRPr="0007696D">
        <w:t xml:space="preserve"> w kolumnie 2 </w:t>
      </w:r>
      <w:r>
        <w:t>„</w:t>
      </w:r>
      <w:r w:rsidRPr="0007696D">
        <w:t>dopuszczalna prędkość pociągów w km/h</w:t>
      </w:r>
      <w:r>
        <w:t>”</w:t>
      </w:r>
      <w:r w:rsidRPr="0007696D">
        <w:t xml:space="preserve"> w wierszu 1 liczbę </w:t>
      </w:r>
      <w:r>
        <w:t>„</w:t>
      </w:r>
      <w:r w:rsidRPr="0007696D">
        <w:t>200</w:t>
      </w:r>
      <w:r>
        <w:t>”</w:t>
      </w:r>
      <w:r w:rsidRPr="0007696D">
        <w:t xml:space="preserve"> zastępuje się liczbą </w:t>
      </w:r>
      <w:r>
        <w:t>„</w:t>
      </w:r>
      <w:r w:rsidRPr="0007696D">
        <w:t>250</w:t>
      </w:r>
      <w:r>
        <w:t>”</w:t>
      </w:r>
      <w:r w:rsidRPr="0007696D">
        <w:t>;</w:t>
      </w:r>
    </w:p>
    <w:p w:rsidR="00532D59" w:rsidRPr="0007696D" w:rsidRDefault="00532D59" w:rsidP="00532D59">
      <w:pPr>
        <w:pStyle w:val="PKTpunkt"/>
        <w:keepNext/>
      </w:pPr>
      <w:r w:rsidRPr="0007696D">
        <w:t>4)</w:t>
      </w:r>
      <w:r>
        <w:tab/>
      </w:r>
      <w:r w:rsidRPr="0007696D">
        <w:t>w § 98:</w:t>
      </w:r>
    </w:p>
    <w:p w:rsidR="00532D59" w:rsidRPr="0007696D" w:rsidRDefault="00532D59" w:rsidP="00532D59">
      <w:pPr>
        <w:pStyle w:val="LITlitera"/>
        <w:keepNext/>
      </w:pPr>
      <w:r w:rsidRPr="0007696D">
        <w:t>a)</w:t>
      </w:r>
      <w:r>
        <w:tab/>
      </w:r>
      <w:r w:rsidRPr="0007696D">
        <w:t>ust. 1 otrzymuje brzmienie:</w:t>
      </w:r>
    </w:p>
    <w:p w:rsidR="00532D59" w:rsidRPr="0007696D" w:rsidRDefault="00532D59" w:rsidP="00532D59">
      <w:pPr>
        <w:pStyle w:val="ZLITUSTzmustliter"/>
      </w:pPr>
      <w:r>
        <w:t>„</w:t>
      </w:r>
      <w:r w:rsidRPr="0007696D">
        <w:t>1.</w:t>
      </w:r>
      <w:r>
        <w:t> </w:t>
      </w:r>
      <w:r w:rsidRPr="0007696D">
        <w:t>Obiekty do obsługi osób projektuje się, buduje lub przebudowuje przy zachowaniu wymagań technicznych specyfikacji interoperacyjności systemu kolei, o których mowa w załącznik</w:t>
      </w:r>
      <w:r>
        <w:t>u</w:t>
      </w:r>
      <w:r w:rsidRPr="0007696D">
        <w:t xml:space="preserve"> do rozporządzenia Komisji (UE) nr 1299/2014 z dnia 18 listopada 2014</w:t>
      </w:r>
      <w:r>
        <w:t> </w:t>
      </w:r>
      <w:r w:rsidRPr="0007696D">
        <w:t xml:space="preserve">r. dotyczącego technicznych specyfikacji interoperacyjności podsystemu </w:t>
      </w:r>
      <w:r>
        <w:t>„</w:t>
      </w:r>
      <w:r w:rsidRPr="0007696D">
        <w:t>Infrastruktura</w:t>
      </w:r>
      <w:r>
        <w:t>”</w:t>
      </w:r>
      <w:r w:rsidRPr="0007696D">
        <w:t xml:space="preserve"> systemu kolei w Unii Europejskiej (Dz. Urz. UE L 356 z 12.12.2014, str. 1, Dz. Urz. UE L 228 z 02.09.2015, str. 15)</w:t>
      </w:r>
      <w:r>
        <w:t xml:space="preserve"> oraz w </w:t>
      </w:r>
      <w:r w:rsidRPr="0007696D">
        <w:t>załączniku do rozporządzenia Komisji (UE) nr 1300/2014 z dnia 18 listopada 2014</w:t>
      </w:r>
      <w:r>
        <w:t> </w:t>
      </w:r>
      <w:r w:rsidRPr="0007696D">
        <w:t>r. w sprawie technicznych specyfikacji interoperacyjności odnoszących się do dostępności systemu kolei Unii dla osób niepełnosprawnych i osób o ograniczonej możliwości poruszania się (Dz. Urz. UE L 356 z 12.12.2014, str. 110).</w:t>
      </w:r>
      <w:r>
        <w:t>”</w:t>
      </w:r>
      <w:r w:rsidRPr="0007696D">
        <w:t>,</w:t>
      </w:r>
    </w:p>
    <w:p w:rsidR="00532D59" w:rsidRPr="0007696D" w:rsidRDefault="00532D59" w:rsidP="00532D59">
      <w:pPr>
        <w:pStyle w:val="LITlitera"/>
        <w:keepNext/>
      </w:pPr>
      <w:r w:rsidRPr="0007696D">
        <w:lastRenderedPageBreak/>
        <w:t>b)</w:t>
      </w:r>
      <w:r>
        <w:tab/>
      </w:r>
      <w:r w:rsidRPr="0007696D">
        <w:t>po ust. 4 dodaje się ust. 4a w brzmieniu:</w:t>
      </w:r>
    </w:p>
    <w:p w:rsidR="00532D59" w:rsidRPr="0007696D" w:rsidRDefault="00532D59" w:rsidP="00532D59">
      <w:pPr>
        <w:pStyle w:val="ZLITUSTzmustliter"/>
      </w:pPr>
      <w:r>
        <w:t>„</w:t>
      </w:r>
      <w:r w:rsidRPr="0007696D">
        <w:t>4a.</w:t>
      </w:r>
      <w:r>
        <w:t> </w:t>
      </w:r>
      <w:r w:rsidRPr="0007696D">
        <w:t>Peronów nie lokalizuje się przy torach, po których ruch pociągów odbywa się z prędkością większą niż 200 km/h.</w:t>
      </w:r>
      <w:r>
        <w:t>”</w:t>
      </w:r>
      <w:r w:rsidRPr="0007696D">
        <w:t>,</w:t>
      </w:r>
    </w:p>
    <w:p w:rsidR="00532D59" w:rsidRPr="0007696D" w:rsidRDefault="00532D59" w:rsidP="00532D59">
      <w:pPr>
        <w:pStyle w:val="LITlitera"/>
        <w:keepNext/>
      </w:pPr>
      <w:r w:rsidRPr="0007696D">
        <w:t>c)</w:t>
      </w:r>
      <w:r>
        <w:tab/>
      </w:r>
      <w:r w:rsidRPr="0007696D">
        <w:t>w ust. 11 wprowadzenie do wyliczenia otrzymuje brzmienie:</w:t>
      </w:r>
    </w:p>
    <w:p w:rsidR="00532D59" w:rsidRPr="0007696D" w:rsidRDefault="00532D59" w:rsidP="00532D59">
      <w:pPr>
        <w:pStyle w:val="ZLITUSTzmustliter"/>
      </w:pPr>
      <w:r>
        <w:t>„</w:t>
      </w:r>
      <w:r w:rsidRPr="0007696D">
        <w:t>11.</w:t>
      </w:r>
      <w:r>
        <w:t> </w:t>
      </w:r>
      <w:r w:rsidRPr="0007696D">
        <w:t>Strefę zagrożenia w rozumieniu technicznych specyfikacji interoperacyjności, o których mowa w ust. 1, wyznacza się w formie przyległego do krawędzi peronu pasa o stałej szerokości zapewniającej dostęp do pociągu, która powinna wynosić nie mniej niż:</w:t>
      </w:r>
      <w:r>
        <w:t>”</w:t>
      </w:r>
      <w:r w:rsidRPr="0007696D">
        <w:t xml:space="preserve">. </w:t>
      </w:r>
    </w:p>
    <w:p w:rsidR="00532D59" w:rsidRPr="0007696D" w:rsidRDefault="00532D59" w:rsidP="00532D59">
      <w:pPr>
        <w:pStyle w:val="ARTartustawynprozporzdzenia"/>
        <w:keepNext/>
      </w:pPr>
      <w:r w:rsidRPr="0007696D">
        <w:rPr>
          <w:rStyle w:val="Ppogrubienie"/>
        </w:rPr>
        <w:t>§ 2.</w:t>
      </w:r>
      <w:r>
        <w:t> </w:t>
      </w:r>
      <w:r w:rsidRPr="0007696D">
        <w:t>1.</w:t>
      </w:r>
      <w:r w:rsidRPr="0007696D">
        <w:tab/>
        <w:t>Przepisy rozporządzenia, o który</w:t>
      </w:r>
      <w:r>
        <w:t>m</w:t>
      </w:r>
      <w:r w:rsidRPr="0007696D">
        <w:t xml:space="preserve"> mowa w § 1 niniejszego rozporządzenia, w brzmieniu nadanym niniejszym rozporządzeniem, nie mają zastosowania do budowli kolejowych istniejących oraz budowli kolejowych, dla których przed dniem wejścia w życie niniejszego rozporządzenia:</w:t>
      </w:r>
    </w:p>
    <w:p w:rsidR="00532D59" w:rsidRPr="0007696D" w:rsidRDefault="00532D59" w:rsidP="00532D59">
      <w:pPr>
        <w:pStyle w:val="PKTpunkt"/>
      </w:pPr>
      <w:r w:rsidRPr="0007696D">
        <w:t>1)</w:t>
      </w:r>
      <w:r>
        <w:tab/>
      </w:r>
      <w:r w:rsidRPr="0007696D">
        <w:t>został złożony wniosek o pozwolenie na budowę lub odrębny wniosek o zatwierdzenie projektu budowlanego;</w:t>
      </w:r>
    </w:p>
    <w:p w:rsidR="00532D59" w:rsidRPr="0007696D" w:rsidRDefault="00532D59" w:rsidP="00532D59">
      <w:pPr>
        <w:pStyle w:val="PKTpunkt"/>
      </w:pPr>
      <w:r w:rsidRPr="0007696D">
        <w:t>2)</w:t>
      </w:r>
      <w:r>
        <w:tab/>
      </w:r>
      <w:r w:rsidRPr="0007696D">
        <w:t>zostało dokonane zgłoszenie budowy lub wykonania robót budowlanych w przypadku, gdy nie jest wymagane uzyskanie decyzji o pozwoleniu na budowę.</w:t>
      </w:r>
    </w:p>
    <w:p w:rsidR="00532D59" w:rsidRPr="0007696D" w:rsidRDefault="00532D59" w:rsidP="00532D59">
      <w:pPr>
        <w:pStyle w:val="USTustnpkodeksu"/>
      </w:pPr>
      <w:r w:rsidRPr="0007696D">
        <w:t>2.</w:t>
      </w:r>
      <w:r>
        <w:t> </w:t>
      </w:r>
      <w:r w:rsidRPr="00ED30AE">
        <w:t xml:space="preserve">Na wniosek inwestora, złożony do właściwego organu administracji architektoniczno-budowlanej w terminie 21 dni od dnia wejścia w życie niniejszego rozporządzenia, w przypadkach, o których mowa w ust. 1, stosuje się przepisy </w:t>
      </w:r>
      <w:r w:rsidRPr="0007696D">
        <w:t>rozporządzenia</w:t>
      </w:r>
      <w:r>
        <w:t xml:space="preserve">, o którym mowa w </w:t>
      </w:r>
      <w:r>
        <w:rPr>
          <w:rFonts w:cs="Times"/>
        </w:rPr>
        <w:t>§</w:t>
      </w:r>
      <w:r>
        <w:t xml:space="preserve"> 1, w brzmieniu nadanym niniejszym rozporządzeniem</w:t>
      </w:r>
      <w:r w:rsidRPr="0007696D">
        <w:t>.</w:t>
      </w:r>
    </w:p>
    <w:p w:rsidR="00532D59" w:rsidRPr="0007696D" w:rsidRDefault="00532D59" w:rsidP="00532D59">
      <w:pPr>
        <w:pStyle w:val="ARTartustawynprozporzdzenia"/>
      </w:pPr>
      <w:r w:rsidRPr="0007696D">
        <w:rPr>
          <w:rStyle w:val="Ppogrubienie"/>
        </w:rPr>
        <w:t>§ 3.</w:t>
      </w:r>
      <w:r>
        <w:t> </w:t>
      </w:r>
      <w:r w:rsidRPr="0007696D">
        <w:t xml:space="preserve">Rozporządzenie wchodzi w życie po upływie </w:t>
      </w:r>
      <w:r>
        <w:t>14</w:t>
      </w:r>
      <w:r w:rsidRPr="0007696D">
        <w:t xml:space="preserve"> dni od dnia ogłoszenia.</w:t>
      </w:r>
    </w:p>
    <w:p w:rsidR="00532D59" w:rsidRDefault="00532D59" w:rsidP="00532D59">
      <w:pPr>
        <w:pStyle w:val="NAZORGWYDnazwaorganuwydajcegoprojektowanyakt"/>
      </w:pPr>
    </w:p>
    <w:p w:rsidR="009B2F83" w:rsidRDefault="00532D59" w:rsidP="00532D59">
      <w:pPr>
        <w:pStyle w:val="NAZORGWYDnazwaorganuwydajcegoprojektowanyakt"/>
      </w:pPr>
      <w:r w:rsidRPr="0007696D">
        <w:t>minister infrastruktury i budownictwa</w:t>
      </w:r>
    </w:p>
    <w:p w:rsidR="00532D59" w:rsidRDefault="00532D59">
      <w:pPr>
        <w:widowControl/>
        <w:autoSpaceDE/>
        <w:autoSpaceDN/>
        <w:adjustRightInd/>
        <w:spacing w:after="200" w:line="276" w:lineRule="auto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532D59" w:rsidRPr="00E03DED" w:rsidRDefault="00532D59" w:rsidP="00532D59">
      <w:pPr>
        <w:spacing w:before="120" w:after="120"/>
        <w:jc w:val="center"/>
        <w:rPr>
          <w:b/>
          <w:color w:val="000000"/>
        </w:rPr>
      </w:pPr>
      <w:r w:rsidRPr="00E03DED">
        <w:rPr>
          <w:b/>
          <w:color w:val="000000"/>
        </w:rPr>
        <w:lastRenderedPageBreak/>
        <w:t>U Z A S A D N I E N I E</w:t>
      </w:r>
    </w:p>
    <w:p w:rsidR="00532D59" w:rsidRDefault="00532D59" w:rsidP="00532D59">
      <w:pPr>
        <w:spacing w:before="120" w:after="120"/>
        <w:jc w:val="both"/>
        <w:rPr>
          <w:color w:val="000000"/>
        </w:rPr>
      </w:pPr>
      <w:r>
        <w:rPr>
          <w:color w:val="000000"/>
        </w:rPr>
        <w:t>R</w:t>
      </w:r>
      <w:r w:rsidRPr="00E03DED">
        <w:rPr>
          <w:color w:val="000000"/>
        </w:rPr>
        <w:t>ozporządzenie Ministra Transportu i Gospodarki Morskiej z dnia 10 września 1998 r. w sprawie warunków technicznych, jakim powinny odpowiadać budowle kolejowe i ich usytuowanie (Dz. U. poz. 987 oraz z 2014 r. poz. 867) od dnia wydania było nowelizowane</w:t>
      </w:r>
      <w:r>
        <w:rPr>
          <w:color w:val="000000"/>
        </w:rPr>
        <w:t xml:space="preserve"> jedynie raz.</w:t>
      </w:r>
      <w:r w:rsidRPr="00E03DED">
        <w:rPr>
          <w:color w:val="000000"/>
        </w:rPr>
        <w:t xml:space="preserve"> </w:t>
      </w:r>
    </w:p>
    <w:p w:rsidR="00532D59" w:rsidRPr="00E03DED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 xml:space="preserve">Potrzeba zmiany </w:t>
      </w:r>
      <w:r>
        <w:rPr>
          <w:color w:val="000000"/>
        </w:rPr>
        <w:t xml:space="preserve">przedmiotowego </w:t>
      </w:r>
      <w:r w:rsidRPr="00E03DED">
        <w:rPr>
          <w:color w:val="000000"/>
        </w:rPr>
        <w:t xml:space="preserve">rozporządzenia wynika z konieczności wprowadzenia przepisów techniczno-budowlanych umożliwiających </w:t>
      </w:r>
      <w:r>
        <w:rPr>
          <w:color w:val="000000"/>
        </w:rPr>
        <w:t>prowadzenie ruchu kolejowego</w:t>
      </w:r>
      <w:r w:rsidRPr="00E03DED">
        <w:rPr>
          <w:color w:val="000000"/>
        </w:rPr>
        <w:t xml:space="preserve"> z prędkością do 250 km/h. Obecnie </w:t>
      </w:r>
      <w:r>
        <w:rPr>
          <w:color w:val="000000"/>
        </w:rPr>
        <w:t>regulacje</w:t>
      </w:r>
      <w:r w:rsidRPr="00E03DED">
        <w:rPr>
          <w:color w:val="000000"/>
        </w:rPr>
        <w:t xml:space="preserve"> przewiduj</w:t>
      </w:r>
      <w:r>
        <w:rPr>
          <w:color w:val="000000"/>
        </w:rPr>
        <w:t>ą</w:t>
      </w:r>
      <w:r w:rsidRPr="00E03DED">
        <w:rPr>
          <w:color w:val="000000"/>
        </w:rPr>
        <w:t xml:space="preserve"> maksymalną prędkość pociągów na liniach magistralnych równą 200 km/h.</w:t>
      </w:r>
    </w:p>
    <w:p w:rsidR="00532D59" w:rsidRPr="00E03DED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>Brak przepisów określających warunki techniczne dla infrastruktury, na której możliwe jest prowadzenie ruchu kolejowego z prędkością powyżej 200 km/h powoduje niemożność wykorzystania w pełni potencjału nowoczesnego taboru posiadanego przez przewoźników kolejowych.</w:t>
      </w:r>
    </w:p>
    <w:p w:rsidR="00532D59" w:rsidRPr="00E03DED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 xml:space="preserve">Prowadzenie ruchu kolejowego z prędkością powyżej 200 km/h przyczyni się bez wątpienia do skrócenia czasów przejazdów, zwiększenia ilości przewożonych pasażerów i towarów oraz uatrakcyjnienia transportu kolejowego jako środka komunikacji dalekobieżnej. </w:t>
      </w:r>
    </w:p>
    <w:p w:rsidR="00532D59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>Celem projektowanego rozporządzenia jest ponadto zapewnienie spójności prawa krajowego dotyczącego budowli kolejowych z przepisami technicznych specyfikacji interoperacyjności (TSI) przyjętymi w aktach prawa Unii Europejskiej</w:t>
      </w:r>
      <w:r>
        <w:rPr>
          <w:color w:val="000000"/>
        </w:rPr>
        <w:t xml:space="preserve"> przy uwzględnieniu </w:t>
      </w:r>
      <w:r w:rsidRPr="007E7A1F">
        <w:t>system</w:t>
      </w:r>
      <w:r>
        <w:t>ów</w:t>
      </w:r>
      <w:r w:rsidRPr="007E7A1F">
        <w:t xml:space="preserve"> zarzą</w:t>
      </w:r>
      <w:r>
        <w:t>dzania bezpieczeństwem stosowanych</w:t>
      </w:r>
      <w:r w:rsidRPr="007E7A1F">
        <w:t xml:space="preserve"> </w:t>
      </w:r>
      <w:r>
        <w:t>przez</w:t>
      </w:r>
      <w:r w:rsidRPr="007E7A1F">
        <w:t xml:space="preserve"> zarządców infrastruktury</w:t>
      </w:r>
      <w:r>
        <w:t>.</w:t>
      </w:r>
    </w:p>
    <w:p w:rsidR="00532D59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 xml:space="preserve">Niniejsza nowelizacja ma na celu dostosowanie stanu prawnego do aktualnego stanu wiedzy technicznej w budownictwie kolejowym. </w:t>
      </w:r>
    </w:p>
    <w:p w:rsidR="00532D59" w:rsidRPr="00E03DED" w:rsidRDefault="00532D59" w:rsidP="00532D59">
      <w:pPr>
        <w:spacing w:before="120" w:after="120"/>
        <w:jc w:val="both"/>
        <w:rPr>
          <w:color w:val="000000"/>
        </w:rPr>
      </w:pPr>
      <w:r w:rsidRPr="00E03DED">
        <w:rPr>
          <w:color w:val="000000"/>
        </w:rPr>
        <w:t xml:space="preserve">Wprowadzone zmiany rozporządzenia pozwolą na stosowanie podniesionych standardów technicznych, co skutkować będzie </w:t>
      </w:r>
      <w:r>
        <w:rPr>
          <w:color w:val="000000"/>
        </w:rPr>
        <w:t xml:space="preserve">popularyzacją </w:t>
      </w:r>
      <w:r w:rsidRPr="00E03DED">
        <w:rPr>
          <w:color w:val="000000"/>
        </w:rPr>
        <w:t>transpor</w:t>
      </w:r>
      <w:r>
        <w:rPr>
          <w:color w:val="000000"/>
        </w:rPr>
        <w:t>tu</w:t>
      </w:r>
      <w:r w:rsidRPr="00E03DED">
        <w:rPr>
          <w:color w:val="000000"/>
        </w:rPr>
        <w:t xml:space="preserve"> kolejow</w:t>
      </w:r>
      <w:r>
        <w:rPr>
          <w:color w:val="000000"/>
        </w:rPr>
        <w:t>ego oraz możliwością wykorzystania w pełni potencjału taboru i cały czas rozwijanych technologii w dziedzinie kolejnictwa</w:t>
      </w:r>
      <w:r w:rsidRPr="00E03DED">
        <w:rPr>
          <w:color w:val="000000"/>
        </w:rPr>
        <w:t>.</w:t>
      </w:r>
    </w:p>
    <w:p w:rsidR="00532D59" w:rsidRDefault="00532D59" w:rsidP="00532D59">
      <w:pPr>
        <w:spacing w:before="120" w:after="120"/>
        <w:jc w:val="both"/>
        <w:rPr>
          <w:color w:val="000000"/>
        </w:rPr>
      </w:pPr>
      <w:r w:rsidRPr="00445294">
        <w:rPr>
          <w:color w:val="000000"/>
        </w:rPr>
        <w:t>Przewidywane skutki prawne wejścia aktu w życie przedstawiono szczegółowo w Ocenie Skutków Regulacji.</w:t>
      </w:r>
    </w:p>
    <w:p w:rsidR="00532D59" w:rsidRPr="00BE6BA4" w:rsidRDefault="00532D59" w:rsidP="00532D59">
      <w:pPr>
        <w:spacing w:before="120" w:after="120"/>
        <w:jc w:val="both"/>
        <w:rPr>
          <w:color w:val="000000"/>
        </w:rPr>
      </w:pPr>
      <w:r w:rsidRPr="00BE6BA4">
        <w:rPr>
          <w:color w:val="000000"/>
        </w:rPr>
        <w:t>Projekt rozporządzenia jest zgodny z prawem Unii Europejskiej.</w:t>
      </w:r>
    </w:p>
    <w:p w:rsidR="00532D59" w:rsidRDefault="00532D59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544"/>
        <w:gridCol w:w="358"/>
        <w:gridCol w:w="390"/>
        <w:gridCol w:w="347"/>
        <w:gridCol w:w="128"/>
        <w:gridCol w:w="154"/>
        <w:gridCol w:w="321"/>
        <w:gridCol w:w="466"/>
        <w:gridCol w:w="9"/>
        <w:gridCol w:w="98"/>
        <w:gridCol w:w="122"/>
        <w:gridCol w:w="251"/>
        <w:gridCol w:w="296"/>
        <w:gridCol w:w="181"/>
        <w:gridCol w:w="480"/>
        <w:gridCol w:w="68"/>
        <w:gridCol w:w="55"/>
        <w:gridCol w:w="352"/>
        <w:gridCol w:w="95"/>
        <w:gridCol w:w="339"/>
        <w:gridCol w:w="40"/>
        <w:gridCol w:w="225"/>
        <w:gridCol w:w="251"/>
        <w:gridCol w:w="266"/>
        <w:gridCol w:w="211"/>
        <w:gridCol w:w="480"/>
        <w:gridCol w:w="95"/>
        <w:gridCol w:w="1212"/>
        <w:tblGridChange w:id="0">
          <w:tblGrid>
            <w:gridCol w:w="1454"/>
            <w:gridCol w:w="544"/>
            <w:gridCol w:w="358"/>
            <w:gridCol w:w="390"/>
            <w:gridCol w:w="347"/>
            <w:gridCol w:w="128"/>
            <w:gridCol w:w="154"/>
            <w:gridCol w:w="321"/>
            <w:gridCol w:w="466"/>
            <w:gridCol w:w="9"/>
            <w:gridCol w:w="98"/>
            <w:gridCol w:w="122"/>
            <w:gridCol w:w="251"/>
            <w:gridCol w:w="296"/>
            <w:gridCol w:w="181"/>
            <w:gridCol w:w="480"/>
            <w:gridCol w:w="68"/>
            <w:gridCol w:w="55"/>
            <w:gridCol w:w="352"/>
            <w:gridCol w:w="95"/>
            <w:gridCol w:w="339"/>
            <w:gridCol w:w="40"/>
            <w:gridCol w:w="225"/>
            <w:gridCol w:w="251"/>
            <w:gridCol w:w="266"/>
            <w:gridCol w:w="211"/>
            <w:gridCol w:w="480"/>
            <w:gridCol w:w="95"/>
            <w:gridCol w:w="1212"/>
          </w:tblGrid>
        </w:tblGridChange>
      </w:tblGrid>
      <w:tr w:rsidR="00532D59" w:rsidRPr="008B4FE6" w:rsidTr="00532D59">
        <w:trPr>
          <w:trHeight w:val="1611"/>
        </w:trPr>
        <w:tc>
          <w:tcPr>
            <w:tcW w:w="3029" w:type="pct"/>
            <w:gridSpan w:val="17"/>
          </w:tcPr>
          <w:p w:rsidR="00532D59" w:rsidRPr="008B4FE6" w:rsidRDefault="00532D59" w:rsidP="00DE0359">
            <w:pPr>
              <w:spacing w:before="120" w:line="240" w:lineRule="auto"/>
              <w:ind w:hanging="45"/>
              <w:rPr>
                <w:color w:val="000000"/>
              </w:rPr>
            </w:pPr>
            <w:bookmarkStart w:id="1" w:name="t1"/>
            <w:r w:rsidRPr="008B4FE6">
              <w:rPr>
                <w:b/>
                <w:color w:val="000000"/>
              </w:rPr>
              <w:lastRenderedPageBreak/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:rsidR="00532D59" w:rsidRPr="008B4FE6" w:rsidRDefault="00532D59" w:rsidP="00DE0359">
            <w:pPr>
              <w:spacing w:line="240" w:lineRule="auto"/>
              <w:ind w:hanging="34"/>
              <w:rPr>
                <w:color w:val="000000"/>
              </w:rPr>
            </w:pPr>
            <w:r w:rsidRPr="0021690B">
              <w:rPr>
                <w:color w:val="000000"/>
              </w:rPr>
              <w:t>Rozporządzenie Ministra Infrastruktury i Budownictwa zmieniające rozporządzenie w sprawie warunków technicznych, jakim powinny odpowiadać budowle kolejowe i ich usytuowanie.</w:t>
            </w:r>
          </w:p>
          <w:p w:rsidR="00532D59" w:rsidRPr="008B4FE6" w:rsidRDefault="00532D59" w:rsidP="00DE0359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Ministerstwo wiodące i ministerstwa współpracujące</w:t>
            </w:r>
          </w:p>
          <w:bookmarkEnd w:id="1"/>
          <w:p w:rsidR="00532D59" w:rsidRDefault="00532D59" w:rsidP="00DE0359">
            <w:pPr>
              <w:ind w:hanging="34"/>
              <w:rPr>
                <w:color w:val="000000"/>
              </w:rPr>
            </w:pPr>
            <w:r>
              <w:rPr>
                <w:color w:val="000000"/>
              </w:rPr>
              <w:t>Ministerstwo Infrastruktury i Budownictwa</w:t>
            </w:r>
          </w:p>
          <w:p w:rsidR="00532D59" w:rsidRDefault="00532D59" w:rsidP="00DE0359">
            <w:pPr>
              <w:spacing w:line="240" w:lineRule="auto"/>
              <w:rPr>
                <w:b/>
                <w:sz w:val="21"/>
                <w:szCs w:val="24"/>
              </w:rPr>
            </w:pPr>
          </w:p>
          <w:p w:rsidR="00532D59" w:rsidRPr="00642825" w:rsidRDefault="00532D59" w:rsidP="00DE0359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b/>
                <w:sz w:val="21"/>
                <w:szCs w:val="21"/>
              </w:rPr>
              <w:t xml:space="preserve"> </w:t>
            </w:r>
          </w:p>
          <w:p w:rsidR="00532D59" w:rsidRPr="00F6637F" w:rsidRDefault="00532D59" w:rsidP="00DE0359">
            <w:r w:rsidRPr="00F6637F">
              <w:t xml:space="preserve">Pan </w:t>
            </w:r>
            <w:r>
              <w:t xml:space="preserve">Andrzej </w:t>
            </w:r>
            <w:proofErr w:type="spellStart"/>
            <w:r>
              <w:t>Bittel</w:t>
            </w:r>
            <w:proofErr w:type="spellEnd"/>
            <w:r w:rsidRPr="00F6637F">
              <w:t>, Podsekretarz Stanu w MI</w:t>
            </w:r>
            <w:r>
              <w:t>B</w:t>
            </w:r>
          </w:p>
          <w:p w:rsidR="00532D59" w:rsidRPr="008B4FE6" w:rsidRDefault="00532D59" w:rsidP="00DE0359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Kontakt do opiekuna merytorycznego projektu</w:t>
            </w:r>
          </w:p>
          <w:p w:rsidR="00532D59" w:rsidRPr="008B4FE6" w:rsidRDefault="00532D59" w:rsidP="00DE0359">
            <w:pPr>
              <w:spacing w:line="240" w:lineRule="auto"/>
              <w:ind w:hanging="34"/>
              <w:rPr>
                <w:color w:val="000000"/>
              </w:rPr>
            </w:pPr>
            <w:bookmarkStart w:id="2" w:name="t3"/>
            <w:r w:rsidRPr="00665030">
              <w:t xml:space="preserve">Pan </w:t>
            </w:r>
            <w:r>
              <w:t>Tomasz Buczyński</w:t>
            </w:r>
            <w:r w:rsidRPr="00665030">
              <w:t>, Dyrektor Departamentu Kolej</w:t>
            </w:r>
            <w:r>
              <w:t>nictwa</w:t>
            </w:r>
            <w:r w:rsidRPr="00665030">
              <w:t xml:space="preserve"> w MI</w:t>
            </w:r>
            <w:bookmarkEnd w:id="2"/>
            <w:r>
              <w:t>B, (22) 630 13 00, Tomasz.Buczynski@mib.gov.pl</w:t>
            </w:r>
          </w:p>
        </w:tc>
        <w:tc>
          <w:tcPr>
            <w:tcW w:w="1967" w:type="pct"/>
            <w:gridSpan w:val="12"/>
            <w:shd w:val="clear" w:color="auto" w:fill="FFFFFF"/>
          </w:tcPr>
          <w:p w:rsidR="00532D59" w:rsidRPr="00642825" w:rsidRDefault="00532D59" w:rsidP="00DE0359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  <w:r w:rsidRPr="00642825">
              <w:rPr>
                <w:b/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12.12.2017 r.</w:t>
            </w:r>
            <w:r w:rsidRPr="00642825">
              <w:rPr>
                <w:b/>
                <w:sz w:val="21"/>
                <w:szCs w:val="21"/>
              </w:rPr>
              <w:t xml:space="preserve"> </w:t>
            </w:r>
          </w:p>
          <w:p w:rsidR="00532D59" w:rsidRDefault="00532D59" w:rsidP="00DE0359">
            <w:pPr>
              <w:spacing w:line="240" w:lineRule="auto"/>
              <w:rPr>
                <w:b/>
              </w:rPr>
            </w:pPr>
          </w:p>
          <w:p w:rsidR="00532D59" w:rsidRPr="0065019F" w:rsidRDefault="00532D59" w:rsidP="00DE0359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  <w:bookmarkStart w:id="3" w:name="Lista1"/>
          </w:p>
          <w:bookmarkEnd w:id="3"/>
          <w:p w:rsidR="00532D59" w:rsidRPr="0065019F" w:rsidRDefault="00532D59" w:rsidP="00DE0359">
            <w:pPr>
              <w:spacing w:line="240" w:lineRule="auto"/>
            </w:pPr>
            <w:r>
              <w:t>Upoważnienie ustawowe</w:t>
            </w:r>
          </w:p>
          <w:p w:rsidR="00532D59" w:rsidRPr="0065019F" w:rsidRDefault="00532D59" w:rsidP="00DE0359">
            <w:pPr>
              <w:spacing w:line="240" w:lineRule="auto"/>
            </w:pPr>
          </w:p>
          <w:p w:rsidR="00532D59" w:rsidRPr="008B4FE6" w:rsidRDefault="00532D59" w:rsidP="00DE0359">
            <w:pPr>
              <w:spacing w:before="120" w:line="240" w:lineRule="auto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 </w:t>
            </w:r>
            <w:r>
              <w:rPr>
                <w:b/>
                <w:color w:val="000000"/>
              </w:rPr>
              <w:t>legislacyjnych Ministra Infrastruktury i Budownictwa</w:t>
            </w:r>
          </w:p>
          <w:p w:rsidR="00532D59" w:rsidRPr="0021690B" w:rsidRDefault="00532D59" w:rsidP="00DE0359">
            <w:pPr>
              <w:spacing w:line="240" w:lineRule="auto"/>
              <w:rPr>
                <w:b/>
                <w:color w:val="000000"/>
              </w:rPr>
            </w:pPr>
            <w:r w:rsidRPr="0021690B">
              <w:rPr>
                <w:b/>
                <w:color w:val="000000"/>
              </w:rPr>
              <w:t>183</w:t>
            </w:r>
          </w:p>
          <w:p w:rsidR="00532D59" w:rsidRPr="008B4FE6" w:rsidRDefault="00532D59" w:rsidP="00DE0359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532D59" w:rsidRPr="0022687A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627221" w:rsidRDefault="00532D59" w:rsidP="00DE0359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532D59" w:rsidRPr="008B4FE6" w:rsidTr="00532D59">
        <w:trPr>
          <w:trHeight w:val="333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  <w:bookmarkStart w:id="4" w:name="Wybór1"/>
            <w:bookmarkEnd w:id="4"/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FFFFFF"/>
          </w:tcPr>
          <w:p w:rsidR="00532D59" w:rsidRPr="001F6D2A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1F6D2A">
              <w:rPr>
                <w:spacing w:val="-2"/>
              </w:rPr>
              <w:t>Potrzeba zmiany rozporządzenia Ministra Transportu i Gospodarki Morskiej z dnia 10 września 1998 r. w sprawie warunków technicznych, jakim powinny odpowiadać budowle kolejowe i ich usytuowanie (Dz. U. poz. 987 oraz z 2014 r. poz. 867) wynika z konieczności wprowadzenia przepisów techniczno-budowlanych umożliwiających kursowanie pociągów z prędkością do 250 km/h. Obecnie przedmiotowe rozporządzenie przewiduje maksymalną prędkość pociągów na liniach magistralnych równą 200 km/h.</w:t>
            </w:r>
          </w:p>
          <w:p w:rsidR="00532D59" w:rsidRPr="001F6D2A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1F6D2A">
              <w:rPr>
                <w:spacing w:val="-2"/>
              </w:rPr>
              <w:t xml:space="preserve">Ze wstępnych analiz wynika, że wykorzystując istniejącą infrastrukturę kolejową, możliwe jest prowadzenie ruchu kolejowego z prędkością do 250 km/h przy zastosowaniu odpowiednich rozwiązań technicznych. </w:t>
            </w:r>
          </w:p>
          <w:p w:rsidR="00532D59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1F6D2A">
              <w:rPr>
                <w:spacing w:val="-2"/>
              </w:rPr>
              <w:t>Brak przepisów określających warunki techniczne dla infrastruktury, na której możliwe jest prowadzenie ruchu kolejowego z prędkością powyżej 200 km/h powoduje niemożność wykorzystania w pełni potencjału nowoczesnego taboru posiadanego</w:t>
            </w:r>
            <w:r>
              <w:rPr>
                <w:spacing w:val="-2"/>
              </w:rPr>
              <w:t xml:space="preserve"> przez przewoźników kolejowych.</w:t>
            </w:r>
          </w:p>
          <w:p w:rsidR="00532D59" w:rsidRPr="001F6D2A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1F6D2A">
              <w:rPr>
                <w:spacing w:val="-2"/>
              </w:rPr>
              <w:t xml:space="preserve">Prowadzenie ruchu kolejowego z prędkością powyżej 200 km/h przyczyni się bez wątpienia do skrócenia czasów przejazdów, zwiększenia ilości przewożonych pasażerów i towarów oraz uatrakcyjnienia transportu kolejowego jako środka komunikacji dalekobieżnej. </w:t>
            </w:r>
          </w:p>
          <w:p w:rsidR="00532D59" w:rsidRPr="001F6D2A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1F6D2A">
              <w:rPr>
                <w:spacing w:val="-2"/>
              </w:rPr>
              <w:t>Celem projektowanego rozporządzenia jest ponadto zapewnienie spójności prawa krajowego dotyczącego budowli kolejowych z przepisami technicznych specyfikacji interoperacyjności (TSI) przyjęty</w:t>
            </w:r>
            <w:r>
              <w:rPr>
                <w:spacing w:val="-2"/>
              </w:rPr>
              <w:t>ch</w:t>
            </w:r>
            <w:r w:rsidRPr="001F6D2A">
              <w:rPr>
                <w:spacing w:val="-2"/>
              </w:rPr>
              <w:t xml:space="preserve"> w aktach prawa Unii Europejskiej.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auto"/>
          </w:tcPr>
          <w:p w:rsidR="00532D59" w:rsidRPr="004353EB" w:rsidRDefault="00532D59" w:rsidP="00DE0359">
            <w:pPr>
              <w:spacing w:line="240" w:lineRule="auto"/>
              <w:jc w:val="both"/>
              <w:rPr>
                <w:color w:val="0070C0"/>
                <w:spacing w:val="-2"/>
              </w:rPr>
            </w:pPr>
            <w:r w:rsidRPr="004353EB">
              <w:rPr>
                <w:spacing w:val="-2"/>
              </w:rPr>
              <w:t xml:space="preserve">Rozszerzenie zakresu prędkości wskazanych w przepisach techniczno-budowlanych dotyczących budowli kolejowych z 200km/h do 250km/h wraz z klauzulami zobowiązującymi do przestrzegania specyfikacji o interoperacyjności kolei </w:t>
            </w:r>
            <w:r>
              <w:rPr>
                <w:spacing w:val="-2"/>
              </w:rPr>
              <w:t>(</w:t>
            </w:r>
            <w:r w:rsidRPr="004353EB">
              <w:rPr>
                <w:spacing w:val="-2"/>
              </w:rPr>
              <w:t>TSI</w:t>
            </w:r>
            <w:r>
              <w:rPr>
                <w:spacing w:val="-2"/>
              </w:rPr>
              <w:t>).</w:t>
            </w:r>
          </w:p>
        </w:tc>
      </w:tr>
      <w:tr w:rsidR="00532D59" w:rsidRPr="008B4FE6" w:rsidTr="00532D59">
        <w:trPr>
          <w:trHeight w:val="307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auto"/>
          </w:tcPr>
          <w:p w:rsidR="00532D59" w:rsidRPr="00E064A9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 w:rsidRPr="00880B76">
              <w:rPr>
                <w:spacing w:val="-2"/>
              </w:rPr>
              <w:t>Wykorzystanie ramowych warunków określonych w Technicznych Specyfikacjach Interoperacyjności.</w:t>
            </w:r>
            <w:r w:rsidRPr="00E064A9">
              <w:rPr>
                <w:spacing w:val="-2"/>
              </w:rPr>
              <w:t xml:space="preserve"> </w:t>
            </w:r>
          </w:p>
        </w:tc>
      </w:tr>
      <w:tr w:rsidR="00532D59" w:rsidRPr="008B4FE6" w:rsidTr="00532D59">
        <w:trPr>
          <w:trHeight w:val="359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Podmioty, na które oddziałuje projekt</w:t>
            </w:r>
          </w:p>
        </w:tc>
      </w:tr>
      <w:tr w:rsidR="00532D59" w:rsidRPr="008B4FE6" w:rsidTr="00532D59">
        <w:trPr>
          <w:trHeight w:val="142"/>
        </w:trPr>
        <w:tc>
          <w:tcPr>
            <w:tcW w:w="1219" w:type="pct"/>
            <w:gridSpan w:val="3"/>
            <w:shd w:val="clear" w:color="auto" w:fill="auto"/>
          </w:tcPr>
          <w:p w:rsidR="00532D59" w:rsidRPr="008B4FE6" w:rsidRDefault="00532D59" w:rsidP="00DE0359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1047" w:type="pct"/>
            <w:gridSpan w:val="8"/>
            <w:shd w:val="clear" w:color="auto" w:fill="auto"/>
          </w:tcPr>
          <w:p w:rsidR="00532D59" w:rsidRPr="008B4FE6" w:rsidRDefault="00532D59" w:rsidP="00DE0359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1368" w:type="pct"/>
            <w:gridSpan w:val="12"/>
            <w:shd w:val="clear" w:color="auto" w:fill="auto"/>
          </w:tcPr>
          <w:p w:rsidR="00532D59" w:rsidRPr="008B4FE6" w:rsidRDefault="00532D59" w:rsidP="00DE0359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362" w:type="pct"/>
            <w:gridSpan w:val="6"/>
            <w:shd w:val="clear" w:color="auto" w:fill="auto"/>
          </w:tcPr>
          <w:p w:rsidR="00532D59" w:rsidRPr="008B4FE6" w:rsidRDefault="00532D59" w:rsidP="00DE0359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532D59" w:rsidRPr="008B4FE6" w:rsidTr="00532D59">
        <w:trPr>
          <w:trHeight w:val="142"/>
        </w:trPr>
        <w:tc>
          <w:tcPr>
            <w:tcW w:w="1219" w:type="pct"/>
            <w:gridSpan w:val="3"/>
            <w:shd w:val="clear" w:color="auto" w:fill="auto"/>
            <w:vAlign w:val="center"/>
          </w:tcPr>
          <w:p w:rsidR="00532D59" w:rsidRPr="008B4FE6" w:rsidRDefault="00532D59" w:rsidP="00DE035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Zarządcy infrastruktury </w:t>
            </w:r>
            <w:r w:rsidRPr="00E064A9">
              <w:rPr>
                <w:color w:val="000000"/>
                <w:spacing w:val="-2"/>
              </w:rPr>
              <w:t>kolejowej systemu 1435mm</w:t>
            </w:r>
          </w:p>
        </w:tc>
        <w:tc>
          <w:tcPr>
            <w:tcW w:w="1047" w:type="pct"/>
            <w:gridSpan w:val="8"/>
            <w:shd w:val="clear" w:color="auto" w:fill="auto"/>
            <w:vAlign w:val="center"/>
          </w:tcPr>
          <w:p w:rsidR="00532D59" w:rsidRPr="00E064A9" w:rsidRDefault="00532D59" w:rsidP="00DE0359">
            <w:pPr>
              <w:jc w:val="center"/>
              <w:rPr>
                <w:color w:val="000000"/>
                <w:spacing w:val="-2"/>
              </w:rPr>
            </w:pPr>
            <w:r w:rsidRPr="00E064A9">
              <w:rPr>
                <w:color w:val="000000"/>
                <w:spacing w:val="-2"/>
              </w:rPr>
              <w:t>14</w:t>
            </w:r>
          </w:p>
        </w:tc>
        <w:tc>
          <w:tcPr>
            <w:tcW w:w="1368" w:type="pct"/>
            <w:gridSpan w:val="12"/>
            <w:shd w:val="clear" w:color="auto" w:fill="auto"/>
            <w:vAlign w:val="center"/>
          </w:tcPr>
          <w:p w:rsidR="00532D59" w:rsidRPr="00B37C80" w:rsidRDefault="00532D59" w:rsidP="00DE035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Urząd Transportu Kolejowego</w:t>
            </w:r>
          </w:p>
        </w:tc>
        <w:tc>
          <w:tcPr>
            <w:tcW w:w="1362" w:type="pct"/>
            <w:gridSpan w:val="6"/>
            <w:shd w:val="clear" w:color="auto" w:fill="auto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E064A9">
              <w:rPr>
                <w:color w:val="000000"/>
                <w:spacing w:val="-2"/>
              </w:rPr>
              <w:t>Umożliwienie użytkowania linii odpowiednio przystosowanych do prędkości maksymalnej pociągów</w:t>
            </w:r>
            <w:r>
              <w:rPr>
                <w:color w:val="000000"/>
                <w:spacing w:val="-2"/>
              </w:rPr>
              <w:t xml:space="preserve"> 250 km/h</w:t>
            </w:r>
          </w:p>
        </w:tc>
      </w:tr>
      <w:tr w:rsidR="00532D59" w:rsidRPr="008B4FE6" w:rsidTr="00532D59">
        <w:trPr>
          <w:trHeight w:val="142"/>
        </w:trPr>
        <w:tc>
          <w:tcPr>
            <w:tcW w:w="1219" w:type="pct"/>
            <w:gridSpan w:val="3"/>
            <w:shd w:val="clear" w:color="auto" w:fill="auto"/>
            <w:vAlign w:val="center"/>
          </w:tcPr>
          <w:p w:rsidR="00532D59" w:rsidRPr="00E064A9" w:rsidRDefault="00532D59" w:rsidP="00DE0359">
            <w:pPr>
              <w:jc w:val="center"/>
              <w:rPr>
                <w:color w:val="000000"/>
                <w:spacing w:val="-2"/>
              </w:rPr>
            </w:pPr>
            <w:r w:rsidRPr="00E064A9">
              <w:rPr>
                <w:color w:val="000000"/>
                <w:spacing w:val="-2"/>
              </w:rPr>
              <w:t>Przewoźnicy pasażerscy systemu szerokości 1435mm</w:t>
            </w:r>
          </w:p>
        </w:tc>
        <w:tc>
          <w:tcPr>
            <w:tcW w:w="1047" w:type="pct"/>
            <w:gridSpan w:val="8"/>
            <w:shd w:val="clear" w:color="auto" w:fill="auto"/>
            <w:vAlign w:val="center"/>
          </w:tcPr>
          <w:p w:rsidR="00532D59" w:rsidRPr="00E064A9" w:rsidRDefault="00532D59" w:rsidP="00DE0359">
            <w:pPr>
              <w:jc w:val="center"/>
              <w:rPr>
                <w:color w:val="000000"/>
                <w:spacing w:val="-2"/>
              </w:rPr>
            </w:pPr>
            <w:r w:rsidRPr="00E064A9">
              <w:rPr>
                <w:color w:val="000000"/>
                <w:spacing w:val="-2"/>
              </w:rPr>
              <w:t>5</w:t>
            </w:r>
          </w:p>
        </w:tc>
        <w:tc>
          <w:tcPr>
            <w:tcW w:w="1368" w:type="pct"/>
            <w:gridSpan w:val="12"/>
            <w:shd w:val="clear" w:color="auto" w:fill="auto"/>
            <w:vAlign w:val="center"/>
          </w:tcPr>
          <w:p w:rsidR="00532D59" w:rsidRPr="00B37C80" w:rsidRDefault="00532D59" w:rsidP="00DE035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Urząd Transportu Kolejowego</w:t>
            </w:r>
          </w:p>
        </w:tc>
        <w:tc>
          <w:tcPr>
            <w:tcW w:w="1362" w:type="pct"/>
            <w:gridSpan w:val="6"/>
            <w:shd w:val="clear" w:color="auto" w:fill="auto"/>
          </w:tcPr>
          <w:p w:rsidR="00532D59" w:rsidRPr="00DD23D2" w:rsidRDefault="00532D59" w:rsidP="00DE0359">
            <w:pPr>
              <w:spacing w:line="240" w:lineRule="auto"/>
              <w:rPr>
                <w:color w:val="0070C0"/>
                <w:spacing w:val="-2"/>
              </w:rPr>
            </w:pPr>
            <w:r w:rsidRPr="00E064A9">
              <w:rPr>
                <w:color w:val="000000"/>
                <w:spacing w:val="-2"/>
              </w:rPr>
              <w:t>Skrócenie czasu przewozów i uatrakcyjnienie kolejowych przewozów pasażerskich.</w:t>
            </w:r>
          </w:p>
        </w:tc>
      </w:tr>
      <w:tr w:rsidR="00532D59" w:rsidRPr="008B4FE6" w:rsidTr="00532D59">
        <w:trPr>
          <w:trHeight w:val="142"/>
        </w:trPr>
        <w:tc>
          <w:tcPr>
            <w:tcW w:w="1219" w:type="pct"/>
            <w:gridSpan w:val="3"/>
            <w:shd w:val="clear" w:color="auto" w:fill="auto"/>
            <w:vAlign w:val="center"/>
          </w:tcPr>
          <w:p w:rsidR="00532D59" w:rsidRDefault="00532D59" w:rsidP="00DE035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Przewoźnicy Towarowi </w:t>
            </w:r>
            <w:r w:rsidRPr="00E064A9">
              <w:rPr>
                <w:color w:val="000000"/>
                <w:spacing w:val="-2"/>
              </w:rPr>
              <w:t>systemu szerokości 1435mm</w:t>
            </w:r>
          </w:p>
        </w:tc>
        <w:tc>
          <w:tcPr>
            <w:tcW w:w="1047" w:type="pct"/>
            <w:gridSpan w:val="8"/>
            <w:shd w:val="clear" w:color="auto" w:fill="auto"/>
            <w:vAlign w:val="center"/>
          </w:tcPr>
          <w:p w:rsidR="00532D59" w:rsidRPr="00E064A9" w:rsidRDefault="00532D59" w:rsidP="00DE0359">
            <w:pPr>
              <w:jc w:val="center"/>
              <w:rPr>
                <w:color w:val="000000"/>
                <w:spacing w:val="-2"/>
              </w:rPr>
            </w:pPr>
            <w:r w:rsidRPr="00E064A9">
              <w:rPr>
                <w:color w:val="000000"/>
                <w:spacing w:val="-2"/>
              </w:rPr>
              <w:t>8</w:t>
            </w:r>
          </w:p>
        </w:tc>
        <w:tc>
          <w:tcPr>
            <w:tcW w:w="1368" w:type="pct"/>
            <w:gridSpan w:val="12"/>
            <w:shd w:val="clear" w:color="auto" w:fill="auto"/>
            <w:vAlign w:val="center"/>
          </w:tcPr>
          <w:p w:rsidR="00532D59" w:rsidRDefault="00532D59" w:rsidP="00DE0359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Urząd Transportu Kolejowego</w:t>
            </w:r>
          </w:p>
        </w:tc>
        <w:tc>
          <w:tcPr>
            <w:tcW w:w="1362" w:type="pct"/>
            <w:gridSpan w:val="6"/>
            <w:shd w:val="clear" w:color="auto" w:fill="auto"/>
          </w:tcPr>
          <w:p w:rsidR="00532D59" w:rsidRPr="00DD23D2" w:rsidRDefault="00532D59" w:rsidP="00DE0359">
            <w:pPr>
              <w:spacing w:line="240" w:lineRule="auto"/>
              <w:rPr>
                <w:color w:val="0070C0"/>
                <w:spacing w:val="-2"/>
              </w:rPr>
            </w:pPr>
            <w:r w:rsidRPr="00E064A9">
              <w:rPr>
                <w:color w:val="000000"/>
                <w:spacing w:val="-2"/>
              </w:rPr>
              <w:t>Częściowe ograniczenie (do szybkich pociągów towarowych) przewozów towarowych na liniach o prędkości przekraczającej 200km/h.</w:t>
            </w:r>
            <w:r>
              <w:rPr>
                <w:color w:val="0070C0"/>
                <w:spacing w:val="-2"/>
              </w:rPr>
              <w:t xml:space="preserve"> </w:t>
            </w:r>
          </w:p>
        </w:tc>
      </w:tr>
      <w:tr w:rsidR="00532D59" w:rsidRPr="008B4FE6" w:rsidTr="00532D59">
        <w:trPr>
          <w:trHeight w:val="302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Informacje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532D59" w:rsidRPr="008B4FE6" w:rsidTr="00532D59">
        <w:trPr>
          <w:trHeight w:val="342"/>
        </w:trPr>
        <w:tc>
          <w:tcPr>
            <w:tcW w:w="4995" w:type="pct"/>
            <w:gridSpan w:val="29"/>
            <w:shd w:val="clear" w:color="auto" w:fill="FFFFFF"/>
          </w:tcPr>
          <w:p w:rsidR="00532D59" w:rsidRPr="00EA1F9E" w:rsidRDefault="00532D59" w:rsidP="00DE0359">
            <w:pPr>
              <w:jc w:val="both"/>
              <w:rPr>
                <w:spacing w:val="-2"/>
              </w:rPr>
            </w:pPr>
            <w:r w:rsidRPr="00EA1F9E">
              <w:rPr>
                <w:spacing w:val="-2"/>
              </w:rPr>
              <w:t xml:space="preserve">Projekt w ramach konsultacji publicznych </w:t>
            </w:r>
            <w:r>
              <w:rPr>
                <w:spacing w:val="-2"/>
              </w:rPr>
              <w:t>zostanie</w:t>
            </w:r>
            <w:r w:rsidRPr="00EA1F9E">
              <w:rPr>
                <w:spacing w:val="-2"/>
              </w:rPr>
              <w:t xml:space="preserve"> przedstawiony następującym podmiotom: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PKP S.A.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PKP PLK</w:t>
            </w:r>
            <w:r>
              <w:rPr>
                <w:spacing w:val="-2"/>
              </w:rPr>
              <w:t xml:space="preserve"> S.A.;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PKP CARGO S.A.</w:t>
            </w:r>
            <w:r>
              <w:rPr>
                <w:spacing w:val="-2"/>
              </w:rPr>
              <w:t>;</w:t>
            </w:r>
          </w:p>
          <w:p w:rsidR="00532D59" w:rsidRPr="004353EB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4353EB">
              <w:rPr>
                <w:spacing w:val="-2"/>
              </w:rPr>
              <w:t>PKP INTERCITY S.A.;</w:t>
            </w:r>
          </w:p>
          <w:p w:rsidR="00532D59" w:rsidRPr="004353EB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4353EB">
              <w:rPr>
                <w:spacing w:val="-2"/>
              </w:rPr>
              <w:t>PKP SKM w Trójmieście;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proofErr w:type="spellStart"/>
            <w:r w:rsidRPr="00DE7AF8">
              <w:rPr>
                <w:spacing w:val="-2"/>
              </w:rPr>
              <w:t>Infra</w:t>
            </w:r>
            <w:proofErr w:type="spellEnd"/>
            <w:r w:rsidRPr="00DE7AF8">
              <w:rPr>
                <w:spacing w:val="-2"/>
              </w:rPr>
              <w:t xml:space="preserve"> SILESIA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J</w:t>
            </w:r>
            <w:r>
              <w:rPr>
                <w:spacing w:val="-2"/>
              </w:rPr>
              <w:t xml:space="preserve">astrzębska </w:t>
            </w:r>
            <w:r w:rsidRPr="00DE7AF8">
              <w:rPr>
                <w:spacing w:val="-2"/>
              </w:rPr>
              <w:t>S</w:t>
            </w:r>
            <w:r>
              <w:rPr>
                <w:spacing w:val="-2"/>
              </w:rPr>
              <w:t xml:space="preserve">półka </w:t>
            </w:r>
            <w:r w:rsidRPr="00DE7AF8">
              <w:rPr>
                <w:spacing w:val="-2"/>
              </w:rPr>
              <w:t>K</w:t>
            </w:r>
            <w:r>
              <w:rPr>
                <w:spacing w:val="-2"/>
              </w:rPr>
              <w:t>olejowa;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KP Kotlarnia Linie Kolejowe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PMT Linie Kolejowe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proofErr w:type="spellStart"/>
            <w:r w:rsidRPr="00DE7AF8">
              <w:rPr>
                <w:spacing w:val="-2"/>
              </w:rPr>
              <w:t>Euroterminal</w:t>
            </w:r>
            <w:proofErr w:type="spellEnd"/>
            <w:r w:rsidRPr="00DE7AF8">
              <w:rPr>
                <w:spacing w:val="-2"/>
              </w:rPr>
              <w:t xml:space="preserve"> Sławków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CTL Maczki-Bór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CARGOTOR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proofErr w:type="spellStart"/>
            <w:r w:rsidRPr="00DE7AF8">
              <w:rPr>
                <w:spacing w:val="-2"/>
              </w:rPr>
              <w:t>DSDiK</w:t>
            </w:r>
            <w:proofErr w:type="spellEnd"/>
            <w:r w:rsidRPr="00DE7AF8">
              <w:rPr>
                <w:spacing w:val="-2"/>
              </w:rPr>
              <w:t xml:space="preserve"> we Wrocławiu 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UBB Polska</w:t>
            </w:r>
            <w:r>
              <w:rPr>
                <w:spacing w:val="-2"/>
              </w:rPr>
              <w:t>;</w:t>
            </w:r>
          </w:p>
          <w:p w:rsidR="00532D59" w:rsidRPr="00DE7AF8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DE7AF8">
              <w:rPr>
                <w:spacing w:val="-2"/>
              </w:rPr>
              <w:t>W</w:t>
            </w:r>
            <w:r>
              <w:rPr>
                <w:spacing w:val="-2"/>
              </w:rPr>
              <w:t xml:space="preserve">arszawska </w:t>
            </w:r>
            <w:r w:rsidRPr="00DE7AF8">
              <w:rPr>
                <w:spacing w:val="-2"/>
              </w:rPr>
              <w:t>K</w:t>
            </w:r>
            <w:r>
              <w:rPr>
                <w:spacing w:val="-2"/>
              </w:rPr>
              <w:t xml:space="preserve">olej </w:t>
            </w:r>
            <w:r w:rsidRPr="00DE7AF8">
              <w:rPr>
                <w:spacing w:val="-2"/>
              </w:rPr>
              <w:t>D</w:t>
            </w:r>
            <w:r>
              <w:rPr>
                <w:spacing w:val="-2"/>
              </w:rPr>
              <w:t>ojazdowa sp. z o.o.;</w:t>
            </w:r>
          </w:p>
          <w:p w:rsidR="00532D59" w:rsidRPr="004353EB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4353EB">
              <w:rPr>
                <w:spacing w:val="-2"/>
              </w:rPr>
              <w:t>Pomorska Kolej Metropolitalna S.A.;</w:t>
            </w:r>
          </w:p>
          <w:p w:rsidR="00532D59" w:rsidRPr="004353EB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4353EB">
              <w:rPr>
                <w:spacing w:val="-2"/>
              </w:rPr>
              <w:t>Przewozy Regionalne Sp. z o.o.;</w:t>
            </w:r>
          </w:p>
          <w:p w:rsidR="00532D59" w:rsidRPr="004353EB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4353EB">
              <w:rPr>
                <w:spacing w:val="-2"/>
              </w:rPr>
              <w:t>Koleje Mazowieckie Sp. z o.o.;</w:t>
            </w:r>
          </w:p>
          <w:p w:rsidR="00532D59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EA1F9E">
              <w:rPr>
                <w:spacing w:val="-2"/>
              </w:rPr>
              <w:t>Związek Niezależnych Przewoźników Kolejowych</w:t>
            </w:r>
            <w:r>
              <w:rPr>
                <w:spacing w:val="-2"/>
              </w:rPr>
              <w:t>;</w:t>
            </w:r>
          </w:p>
          <w:p w:rsidR="00532D59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EA1F9E">
              <w:rPr>
                <w:spacing w:val="-2"/>
              </w:rPr>
              <w:t>Związek Pracodawców Kolejowych</w:t>
            </w:r>
            <w:r>
              <w:rPr>
                <w:spacing w:val="-2"/>
              </w:rPr>
              <w:t>;</w:t>
            </w:r>
          </w:p>
          <w:p w:rsidR="00532D59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 w:rsidRPr="00EA1F9E">
              <w:rPr>
                <w:spacing w:val="-2"/>
              </w:rPr>
              <w:t>Izba Gospodarcza Transportu Lądowego</w:t>
            </w:r>
            <w:r>
              <w:rPr>
                <w:spacing w:val="-2"/>
              </w:rPr>
              <w:t>.</w:t>
            </w:r>
          </w:p>
          <w:p w:rsidR="00532D59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Railway Business Forum</w:t>
            </w:r>
          </w:p>
          <w:p w:rsidR="00532D59" w:rsidRDefault="00532D59" w:rsidP="00532D5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Fundacja ProKolej</w:t>
            </w:r>
          </w:p>
          <w:p w:rsidR="00532D59" w:rsidRDefault="00532D59" w:rsidP="00DE0359">
            <w:pPr>
              <w:spacing w:line="240" w:lineRule="auto"/>
              <w:ind w:left="720"/>
              <w:rPr>
                <w:spacing w:val="-2"/>
              </w:rPr>
            </w:pPr>
          </w:p>
          <w:p w:rsidR="00532D59" w:rsidRDefault="00532D59" w:rsidP="00DE0359">
            <w:pPr>
              <w:spacing w:line="240" w:lineRule="auto"/>
              <w:ind w:left="34"/>
              <w:rPr>
                <w:spacing w:val="-2"/>
              </w:rPr>
            </w:pPr>
            <w:r>
              <w:rPr>
                <w:spacing w:val="-2"/>
              </w:rPr>
              <w:t>Na zgłoszenie uwag podmioty będą miały 14 dni od otrzymania informacji o zamieszczeniu projektu w Biuletynie Informacji Publicznej.</w:t>
            </w:r>
          </w:p>
          <w:p w:rsidR="00532D59" w:rsidRDefault="00532D59" w:rsidP="00DE0359">
            <w:pPr>
              <w:spacing w:line="240" w:lineRule="auto"/>
              <w:ind w:left="34"/>
              <w:rPr>
                <w:spacing w:val="-2"/>
              </w:rPr>
            </w:pPr>
          </w:p>
          <w:p w:rsidR="00532D59" w:rsidRDefault="00532D59" w:rsidP="00DE0359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5739E2">
              <w:rPr>
                <w:spacing w:val="-2"/>
              </w:rPr>
              <w:lastRenderedPageBreak/>
              <w:t>Omówienie wyników konsultacji publicznych zosta</w:t>
            </w:r>
            <w:r>
              <w:rPr>
                <w:spacing w:val="-2"/>
              </w:rPr>
              <w:t>nie</w:t>
            </w:r>
            <w:r w:rsidRPr="005739E2">
              <w:rPr>
                <w:spacing w:val="-2"/>
              </w:rPr>
              <w:t xml:space="preserve"> przedstawione w załączonym do projektu rozporządzenia Raporcie z konsultacji publicznych.</w:t>
            </w:r>
          </w:p>
          <w:p w:rsidR="00532D59" w:rsidRPr="00B37C80" w:rsidRDefault="00532D59" w:rsidP="00DE0359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532D59" w:rsidRPr="008B4FE6" w:rsidTr="00532D59">
        <w:trPr>
          <w:trHeight w:val="363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32D59" w:rsidRPr="008B4FE6" w:rsidTr="00532D59">
        <w:trPr>
          <w:trHeight w:val="142"/>
        </w:trPr>
        <w:tc>
          <w:tcPr>
            <w:tcW w:w="1431" w:type="pct"/>
            <w:gridSpan w:val="4"/>
            <w:vMerge w:val="restart"/>
            <w:shd w:val="clear" w:color="auto" w:fill="FFFFFF"/>
          </w:tcPr>
          <w:p w:rsidR="00532D59" w:rsidRPr="00C53F26" w:rsidRDefault="00532D59" w:rsidP="00DE0359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6F78C4">
              <w:rPr>
                <w:color w:val="000000"/>
                <w:sz w:val="21"/>
                <w:szCs w:val="21"/>
              </w:rPr>
              <w:t xml:space="preserve">(ceny </w:t>
            </w:r>
            <w:r>
              <w:rPr>
                <w:color w:val="000000"/>
                <w:sz w:val="21"/>
                <w:szCs w:val="21"/>
              </w:rPr>
              <w:t>stałe</w:t>
            </w:r>
            <w:r w:rsidRPr="006F78C4">
              <w:rPr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3564" w:type="pct"/>
            <w:gridSpan w:val="25"/>
            <w:shd w:val="clear" w:color="auto" w:fill="FFFFFF"/>
          </w:tcPr>
          <w:p w:rsidR="00532D59" w:rsidRPr="00C53F26" w:rsidRDefault="00532D59" w:rsidP="00DE0359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532D59" w:rsidRPr="008B4FE6" w:rsidTr="00532D59">
        <w:trPr>
          <w:trHeight w:val="142"/>
        </w:trPr>
        <w:tc>
          <w:tcPr>
            <w:tcW w:w="1431" w:type="pct"/>
            <w:gridSpan w:val="4"/>
            <w:vMerge/>
            <w:shd w:val="clear" w:color="auto" w:fill="FFFFFF"/>
          </w:tcPr>
          <w:p w:rsidR="00532D59" w:rsidRPr="00C53F26" w:rsidRDefault="00532D59" w:rsidP="00DE0359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60" w:type="pct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60" w:type="pct"/>
            <w:shd w:val="clear" w:color="auto" w:fill="FFFFFF"/>
          </w:tcPr>
          <w:p w:rsidR="00532D59" w:rsidRPr="00C53F26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02" w:type="pct"/>
            <w:gridSpan w:val="2"/>
            <w:shd w:val="clear" w:color="auto" w:fill="FFFFFF"/>
          </w:tcPr>
          <w:p w:rsidR="00532D59" w:rsidRPr="00C53F26" w:rsidRDefault="00532D59" w:rsidP="00DE0359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32D59" w:rsidRPr="008B4FE6" w:rsidTr="00532D59">
        <w:trPr>
          <w:trHeight w:val="321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21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44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44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30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30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51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51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60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60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57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57"/>
        </w:trPr>
        <w:tc>
          <w:tcPr>
            <w:tcW w:w="1431" w:type="pct"/>
            <w:gridSpan w:val="4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0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48"/>
        </w:trPr>
        <w:tc>
          <w:tcPr>
            <w:tcW w:w="1024" w:type="pct"/>
            <w:gridSpan w:val="2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3971" w:type="pct"/>
            <w:gridSpan w:val="27"/>
            <w:shd w:val="clear" w:color="auto" w:fill="FFFFFF"/>
            <w:vAlign w:val="center"/>
          </w:tcPr>
          <w:p w:rsidR="00532D59" w:rsidRPr="00B37C80" w:rsidRDefault="00532D59" w:rsidP="00DE0359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297"/>
        </w:trPr>
        <w:tc>
          <w:tcPr>
            <w:tcW w:w="1024" w:type="pct"/>
            <w:gridSpan w:val="2"/>
            <w:shd w:val="clear" w:color="auto" w:fill="FFFFFF"/>
            <w:vAlign w:val="center"/>
          </w:tcPr>
          <w:p w:rsidR="00532D59" w:rsidRPr="00A74B54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3971" w:type="pct"/>
            <w:gridSpan w:val="27"/>
            <w:shd w:val="clear" w:color="auto" w:fill="FFFFFF"/>
            <w:vAlign w:val="center"/>
          </w:tcPr>
          <w:p w:rsidR="00532D59" w:rsidRPr="00C53F26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45"/>
        </w:trPr>
        <w:tc>
          <w:tcPr>
            <w:tcW w:w="4995" w:type="pct"/>
            <w:gridSpan w:val="29"/>
            <w:shd w:val="clear" w:color="auto" w:fill="99CCFF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32D59" w:rsidRPr="008B4FE6" w:rsidTr="00532D59">
        <w:trPr>
          <w:trHeight w:val="142"/>
        </w:trPr>
        <w:tc>
          <w:tcPr>
            <w:tcW w:w="1776" w:type="pct"/>
            <w:gridSpan w:val="7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428" w:type="pct"/>
            <w:gridSpan w:val="2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28" w:type="pct"/>
            <w:gridSpan w:val="5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49" w:type="pct"/>
            <w:shd w:val="clear" w:color="auto" w:fill="FFFFFF"/>
          </w:tcPr>
          <w:p w:rsidR="00532D59" w:rsidRPr="001B3460" w:rsidRDefault="00532D59" w:rsidP="00DE0359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vMerge w:val="restart"/>
            <w:shd w:val="clear" w:color="auto" w:fill="FFFFFF"/>
          </w:tcPr>
          <w:p w:rsidR="00532D59" w:rsidRDefault="00532D59" w:rsidP="00DE0359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:rsidR="00532D59" w:rsidRDefault="00532D59" w:rsidP="00DE0359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428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5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vMerge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428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5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vMerge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428" w:type="pct"/>
            <w:gridSpan w:val="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5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4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gridSpan w:val="3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49" w:type="pct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vMerge w:val="restart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19" w:type="pct"/>
            <w:gridSpan w:val="2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vMerge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19" w:type="pct"/>
            <w:gridSpan w:val="2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596"/>
        </w:trPr>
        <w:tc>
          <w:tcPr>
            <w:tcW w:w="729" w:type="pct"/>
            <w:vMerge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 w:rsidRPr="00301959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219" w:type="pct"/>
            <w:gridSpan w:val="22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729" w:type="pct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1047" w:type="pct"/>
            <w:gridSpan w:val="6"/>
            <w:shd w:val="clear" w:color="auto" w:fill="FFFFFF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219" w:type="pct"/>
            <w:gridSpan w:val="22"/>
            <w:shd w:val="clear" w:color="auto" w:fill="FFFFFF"/>
          </w:tcPr>
          <w:p w:rsidR="00532D59" w:rsidRPr="009275BE" w:rsidRDefault="00532D59" w:rsidP="00DE0359">
            <w:pPr>
              <w:rPr>
                <w:color w:val="0070C0"/>
                <w:spacing w:val="-2"/>
                <w:sz w:val="21"/>
                <w:szCs w:val="21"/>
              </w:rPr>
            </w:pPr>
            <w:r w:rsidRPr="00880B76">
              <w:rPr>
                <w:color w:val="000000"/>
                <w:spacing w:val="-2"/>
              </w:rPr>
              <w:t>Poprawa konkurencyjności pasażerskich przewozów kolejowych wobec drogowych i lotniczych.</w:t>
            </w:r>
            <w:r>
              <w:rPr>
                <w:color w:val="0070C0"/>
                <w:spacing w:val="-2"/>
                <w:sz w:val="21"/>
                <w:szCs w:val="21"/>
              </w:rPr>
              <w:t xml:space="preserve"> </w:t>
            </w:r>
          </w:p>
        </w:tc>
      </w:tr>
      <w:tr w:rsidR="00532D59" w:rsidRPr="008B4FE6" w:rsidTr="00532D59">
        <w:trPr>
          <w:trHeight w:val="1282"/>
        </w:trPr>
        <w:tc>
          <w:tcPr>
            <w:tcW w:w="1024" w:type="pct"/>
            <w:gridSpan w:val="2"/>
            <w:shd w:val="clear" w:color="auto" w:fill="FFFFFF"/>
            <w:vAlign w:val="center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3971" w:type="pct"/>
            <w:gridSpan w:val="27"/>
            <w:shd w:val="clear" w:color="auto" w:fill="FFFFFF"/>
            <w:vAlign w:val="center"/>
          </w:tcPr>
          <w:p w:rsidR="00532D59" w:rsidRPr="00301959" w:rsidRDefault="00532D59" w:rsidP="00DE0359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532D59" w:rsidRPr="008B4FE6" w:rsidTr="00532D59">
        <w:trPr>
          <w:trHeight w:val="342"/>
        </w:trPr>
        <w:tc>
          <w:tcPr>
            <w:tcW w:w="4995" w:type="pct"/>
            <w:gridSpan w:val="29"/>
            <w:shd w:val="clear" w:color="auto" w:fill="99CCFF"/>
            <w:vAlign w:val="center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Zmiana o</w:t>
            </w:r>
            <w:r w:rsidRPr="008B4FE6">
              <w:rPr>
                <w:b/>
                <w:color w:val="000000"/>
              </w:rPr>
              <w:t>bciąże</w:t>
            </w:r>
            <w:r>
              <w:rPr>
                <w:b/>
                <w:color w:val="000000"/>
              </w:rPr>
              <w:t>ń</w:t>
            </w:r>
            <w:r w:rsidRPr="008B4FE6">
              <w:rPr>
                <w:b/>
                <w:color w:val="000000"/>
              </w:rPr>
              <w:t xml:space="preserve"> regulacyjn</w:t>
            </w:r>
            <w:r>
              <w:rPr>
                <w:b/>
                <w:color w:val="000000"/>
              </w:rPr>
              <w:t>ych (w tym obowiązków informacyjnych)</w:t>
            </w:r>
            <w:r w:rsidRPr="008B4FE6">
              <w:rPr>
                <w:b/>
                <w:color w:val="000000"/>
              </w:rPr>
              <w:t xml:space="preserve"> wynikając</w:t>
            </w:r>
            <w:r>
              <w:rPr>
                <w:b/>
                <w:color w:val="000000"/>
              </w:rPr>
              <w:t>ych</w:t>
            </w:r>
            <w:r w:rsidRPr="008B4FE6">
              <w:rPr>
                <w:b/>
                <w:color w:val="000000"/>
              </w:rPr>
              <w:t xml:space="preserve"> z projektu</w:t>
            </w:r>
          </w:p>
        </w:tc>
      </w:tr>
      <w:tr w:rsidR="00532D59" w:rsidRPr="008B4FE6" w:rsidTr="00532D59">
        <w:trPr>
          <w:trHeight w:val="151"/>
        </w:trPr>
        <w:tc>
          <w:tcPr>
            <w:tcW w:w="4995" w:type="pct"/>
            <w:gridSpan w:val="29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1A5FDA">
              <w:rPr>
                <w:color w:val="000000"/>
              </w:rPr>
              <w:t xml:space="preserve"> </w:t>
            </w:r>
            <w:r w:rsidRPr="001A5FDA">
              <w:rPr>
                <w:color w:val="000000"/>
                <w:spacing w:val="-2"/>
              </w:rPr>
              <w:t>nie dotyczy</w:t>
            </w:r>
          </w:p>
        </w:tc>
      </w:tr>
      <w:tr w:rsidR="00532D59" w:rsidRPr="008B4FE6" w:rsidTr="00532D59">
        <w:trPr>
          <w:trHeight w:val="946"/>
        </w:trPr>
        <w:tc>
          <w:tcPr>
            <w:tcW w:w="2334" w:type="pct"/>
            <w:gridSpan w:val="12"/>
            <w:shd w:val="clear" w:color="auto" w:fill="FFFFFF"/>
          </w:tcPr>
          <w:p w:rsidR="00532D59" w:rsidRDefault="00532D59" w:rsidP="00DE0359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 xml:space="preserve">prowadzane są </w:t>
            </w:r>
            <w:r>
              <w:rPr>
                <w:color w:val="000000"/>
                <w:spacing w:val="-2"/>
              </w:rPr>
              <w:t>obciążenia</w:t>
            </w:r>
            <w:r w:rsidRPr="00653688">
              <w:rPr>
                <w:color w:val="000000"/>
                <w:spacing w:val="-2"/>
              </w:rPr>
              <w:t xml:space="preserve"> poza bezwzględnie wymaganymi przez UE</w:t>
            </w:r>
            <w:r>
              <w:rPr>
                <w:color w:val="000000"/>
                <w:spacing w:val="-2"/>
              </w:rPr>
              <w:t xml:space="preserve"> </w:t>
            </w:r>
            <w:r w:rsidRPr="008B4FE6">
              <w:rPr>
                <w:color w:val="000000"/>
              </w:rPr>
              <w:t>(szczegóły w odwróconej tabeli zgodności</w:t>
            </w:r>
            <w:r>
              <w:rPr>
                <w:color w:val="000000"/>
              </w:rPr>
              <w:t>).</w:t>
            </w:r>
          </w:p>
        </w:tc>
        <w:tc>
          <w:tcPr>
            <w:tcW w:w="2661" w:type="pct"/>
            <w:gridSpan w:val="17"/>
            <w:shd w:val="clear" w:color="auto" w:fill="FFFFFF"/>
          </w:tcPr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tak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nie</w:t>
            </w:r>
          </w:p>
          <w:p w:rsidR="00532D59" w:rsidRPr="00273DA2" w:rsidRDefault="00532D59" w:rsidP="00DE0359">
            <w:pPr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nie dotyczy</w:t>
            </w:r>
          </w:p>
        </w:tc>
      </w:tr>
      <w:tr w:rsidR="00532D59" w:rsidRPr="008B4FE6" w:rsidTr="00532D59">
        <w:trPr>
          <w:trHeight w:val="1245"/>
        </w:trPr>
        <w:tc>
          <w:tcPr>
            <w:tcW w:w="2334" w:type="pct"/>
            <w:gridSpan w:val="12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dokumentów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532D59" w:rsidRPr="008B4FE6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procedur</w:t>
            </w:r>
          </w:p>
          <w:p w:rsidR="00532D59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skrócenie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:rsidR="00532D59" w:rsidRPr="008B4FE6" w:rsidRDefault="00532D59" w:rsidP="00DE0359">
            <w:pPr>
              <w:rPr>
                <w:b/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2661" w:type="pct"/>
            <w:gridSpan w:val="17"/>
            <w:shd w:val="clear" w:color="auto" w:fill="FFFFFF"/>
          </w:tcPr>
          <w:p w:rsidR="00532D59" w:rsidRPr="00273DA2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  <w:sz w:val="20"/>
              </w:rPr>
              <w:t xml:space="preserve"> </w:t>
            </w:r>
            <w:r w:rsidRPr="00273DA2">
              <w:rPr>
                <w:color w:val="000000"/>
                <w:spacing w:val="-2"/>
              </w:rPr>
              <w:t>zwiększenie liczby dokumentów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  <w:sz w:val="20"/>
              </w:rPr>
              <w:t xml:space="preserve"> </w:t>
            </w:r>
            <w:r w:rsidRPr="00273DA2">
              <w:rPr>
                <w:color w:val="000000"/>
                <w:spacing w:val="-2"/>
              </w:rPr>
              <w:t>zwiększenie liczby procedur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  <w:sz w:val="20"/>
              </w:rPr>
              <w:t xml:space="preserve"> </w:t>
            </w:r>
            <w:r w:rsidRPr="00273DA2">
              <w:rPr>
                <w:color w:val="000000"/>
                <w:spacing w:val="-2"/>
              </w:rPr>
              <w:t>wydłużenie czasu na załatwienie sprawy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  <w:sz w:val="20"/>
              </w:rPr>
              <w:t xml:space="preserve"> </w:t>
            </w:r>
            <w:r w:rsidRPr="00273DA2">
              <w:rPr>
                <w:color w:val="000000"/>
                <w:spacing w:val="-2"/>
              </w:rPr>
              <w:t>inne:</w:t>
            </w:r>
            <w:r w:rsidRPr="00273DA2">
              <w:rPr>
                <w:color w:val="000000"/>
              </w:rPr>
              <w:t xml:space="preserve"> </w:t>
            </w:r>
            <w:r w:rsidRPr="00273DA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73DA2">
              <w:rPr>
                <w:color w:val="000000"/>
              </w:rPr>
              <w:instrText xml:space="preserve"> FORMTEXT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separate"/>
            </w:r>
            <w:r w:rsidRPr="00273DA2">
              <w:rPr>
                <w:noProof/>
                <w:color w:val="000000"/>
              </w:rPr>
              <w:t> </w:t>
            </w:r>
            <w:r w:rsidRPr="00273DA2">
              <w:rPr>
                <w:noProof/>
                <w:color w:val="000000"/>
              </w:rPr>
              <w:t> </w:t>
            </w:r>
            <w:r w:rsidRPr="00273DA2">
              <w:rPr>
                <w:noProof/>
                <w:color w:val="000000"/>
              </w:rPr>
              <w:t> </w:t>
            </w:r>
            <w:r w:rsidRPr="00273DA2">
              <w:rPr>
                <w:noProof/>
                <w:color w:val="000000"/>
              </w:rPr>
              <w:t> </w:t>
            </w:r>
            <w:r w:rsidRPr="00273DA2">
              <w:rPr>
                <w:noProof/>
                <w:color w:val="000000"/>
              </w:rPr>
              <w:t> </w:t>
            </w:r>
            <w:r w:rsidRPr="00273DA2">
              <w:rPr>
                <w:color w:val="000000"/>
              </w:rPr>
              <w:fldChar w:fldCharType="end"/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</w:p>
        </w:tc>
      </w:tr>
      <w:tr w:rsidR="00532D59" w:rsidRPr="008B4FE6" w:rsidTr="00532D59">
        <w:trPr>
          <w:trHeight w:val="870"/>
        </w:trPr>
        <w:tc>
          <w:tcPr>
            <w:tcW w:w="2334" w:type="pct"/>
            <w:gridSpan w:val="12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2661" w:type="pct"/>
            <w:gridSpan w:val="17"/>
            <w:shd w:val="clear" w:color="auto" w:fill="FFFFFF"/>
          </w:tcPr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tak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 w:rsidRPr="00273DA2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DA2">
              <w:rPr>
                <w:color w:val="000000"/>
              </w:rPr>
              <w:instrText xml:space="preserve"> FORMCHECKBOX </w:instrText>
            </w:r>
            <w:r w:rsidRPr="00273DA2">
              <w:rPr>
                <w:color w:val="000000"/>
              </w:rPr>
            </w:r>
            <w:r w:rsidRPr="00273DA2"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nie</w:t>
            </w:r>
          </w:p>
          <w:p w:rsidR="00532D59" w:rsidRPr="00273DA2" w:rsidRDefault="00532D59" w:rsidP="00DE035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 w:rsidRPr="00273DA2">
              <w:rPr>
                <w:color w:val="000000"/>
              </w:rPr>
              <w:t xml:space="preserve"> nie dotyczy</w:t>
            </w:r>
          </w:p>
          <w:p w:rsidR="00532D59" w:rsidRPr="00443F48" w:rsidRDefault="00532D59" w:rsidP="00DE0359">
            <w:pPr>
              <w:spacing w:line="240" w:lineRule="auto"/>
              <w:rPr>
                <w:color w:val="000000"/>
                <w:highlight w:val="yellow"/>
              </w:rPr>
            </w:pPr>
          </w:p>
        </w:tc>
      </w:tr>
      <w:tr w:rsidR="00532D59" w:rsidRPr="008B4FE6" w:rsidTr="00532D59">
        <w:trPr>
          <w:trHeight w:val="288"/>
        </w:trPr>
        <w:tc>
          <w:tcPr>
            <w:tcW w:w="4995" w:type="pct"/>
            <w:gridSpan w:val="29"/>
            <w:shd w:val="clear" w:color="auto" w:fill="FFFFFF"/>
          </w:tcPr>
          <w:p w:rsidR="00532D59" w:rsidRPr="00A74B54" w:rsidRDefault="00532D59" w:rsidP="00DE0359">
            <w:pPr>
              <w:spacing w:line="240" w:lineRule="auto"/>
              <w:jc w:val="both"/>
              <w:rPr>
                <w:b/>
                <w:i/>
                <w:color w:val="0070C0"/>
                <w:highlight w:val="yellow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auto"/>
          </w:tcPr>
          <w:p w:rsidR="00532D59" w:rsidRDefault="00532D59" w:rsidP="00DE0359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880B76">
              <w:rPr>
                <w:color w:val="000000"/>
                <w:spacing w:val="-2"/>
              </w:rPr>
              <w:t>Wzrost zapotrzebowania na wykwalifikowaną kadrę inżynierską.</w:t>
            </w:r>
            <w:r>
              <w:rPr>
                <w:color w:val="000000"/>
                <w:spacing w:val="-2"/>
              </w:rPr>
              <w:t xml:space="preserve"> </w:t>
            </w:r>
          </w:p>
          <w:p w:rsidR="00532D59" w:rsidRPr="00A74B54" w:rsidRDefault="00532D59" w:rsidP="00DE0359">
            <w:pPr>
              <w:spacing w:line="240" w:lineRule="auto"/>
              <w:jc w:val="both"/>
              <w:rPr>
                <w:b/>
                <w:i/>
                <w:spacing w:val="-2"/>
              </w:rPr>
            </w:pPr>
            <w:r>
              <w:rPr>
                <w:color w:val="000000"/>
                <w:spacing w:val="-2"/>
              </w:rPr>
              <w:t>Konieczność p</w:t>
            </w:r>
            <w:r w:rsidRPr="00880B76">
              <w:rPr>
                <w:color w:val="000000"/>
                <w:spacing w:val="-2"/>
              </w:rPr>
              <w:t>odniesieni</w:t>
            </w:r>
            <w:r>
              <w:rPr>
                <w:color w:val="000000"/>
                <w:spacing w:val="-2"/>
              </w:rPr>
              <w:t>a</w:t>
            </w:r>
            <w:r w:rsidRPr="00880B76">
              <w:rPr>
                <w:color w:val="000000"/>
                <w:spacing w:val="-2"/>
              </w:rPr>
              <w:t xml:space="preserve"> kwalifikacji personelu kolejowego.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532D59" w:rsidRPr="008B4FE6" w:rsidTr="00532D59">
        <w:trPr>
          <w:trHeight w:val="1031"/>
        </w:trPr>
        <w:tc>
          <w:tcPr>
            <w:tcW w:w="1620" w:type="pct"/>
            <w:gridSpan w:val="5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</w:p>
          <w:p w:rsidR="00532D59" w:rsidRPr="008B4FE6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środowisko naturalne</w:t>
            </w:r>
          </w:p>
          <w:p w:rsidR="00532D59" w:rsidRDefault="00532D59" w:rsidP="00DE0359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</w:rPr>
              <w:t>sytuacja i rozwój regionalny</w:t>
            </w:r>
          </w:p>
          <w:p w:rsidR="00532D59" w:rsidRPr="008B4FE6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</w:p>
        </w:tc>
        <w:tc>
          <w:tcPr>
            <w:tcW w:w="1684" w:type="pct"/>
            <w:gridSpan w:val="15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</w:p>
          <w:p w:rsidR="00532D59" w:rsidRPr="008B4FE6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</w:tc>
        <w:tc>
          <w:tcPr>
            <w:tcW w:w="1691" w:type="pct"/>
            <w:gridSpan w:val="9"/>
            <w:shd w:val="clear" w:color="auto" w:fill="FFFFFF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</w:p>
          <w:p w:rsidR="00532D59" w:rsidRDefault="00532D59" w:rsidP="00DE0359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532D59" w:rsidRPr="008B4FE6" w:rsidTr="00532D59">
        <w:trPr>
          <w:trHeight w:val="712"/>
        </w:trPr>
        <w:tc>
          <w:tcPr>
            <w:tcW w:w="1024" w:type="pct"/>
            <w:gridSpan w:val="2"/>
            <w:shd w:val="clear" w:color="auto" w:fill="FFFFFF"/>
            <w:vAlign w:val="center"/>
          </w:tcPr>
          <w:p w:rsidR="00532D59" w:rsidRPr="008B4FE6" w:rsidRDefault="00532D59" w:rsidP="00DE0359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t>Omówienie wpływu</w:t>
            </w:r>
          </w:p>
        </w:tc>
        <w:tc>
          <w:tcPr>
            <w:tcW w:w="3971" w:type="pct"/>
            <w:gridSpan w:val="27"/>
            <w:shd w:val="clear" w:color="auto" w:fill="FFFFFF"/>
            <w:vAlign w:val="center"/>
          </w:tcPr>
          <w:p w:rsidR="00532D59" w:rsidRPr="00F16652" w:rsidRDefault="00532D59" w:rsidP="00DE0359">
            <w:pPr>
              <w:spacing w:line="240" w:lineRule="auto"/>
              <w:jc w:val="both"/>
              <w:rPr>
                <w:color w:val="0070C0"/>
                <w:spacing w:val="-2"/>
                <w:highlight w:val="yellow"/>
              </w:rPr>
            </w:pPr>
            <w:r w:rsidRPr="00A74B54">
              <w:rPr>
                <w:color w:val="000000"/>
                <w:spacing w:val="-2"/>
              </w:rPr>
              <w:t>Nie dotyczy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627221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>
              <w:rPr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b/>
                <w:spacing w:val="-2"/>
                <w:sz w:val="21"/>
                <w:szCs w:val="21"/>
              </w:rPr>
              <w:t>ykonani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Bezpośrednio po wejściu z życie.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b/>
                <w:spacing w:val="-2"/>
                <w:sz w:val="21"/>
                <w:szCs w:val="21"/>
              </w:rPr>
              <w:t>?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99CCFF"/>
          </w:tcPr>
          <w:p w:rsidR="00532D59" w:rsidRPr="008B4FE6" w:rsidRDefault="00532D59" w:rsidP="00532D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532D59" w:rsidRPr="008B4FE6" w:rsidTr="00532D59">
        <w:trPr>
          <w:trHeight w:val="142"/>
        </w:trPr>
        <w:tc>
          <w:tcPr>
            <w:tcW w:w="4995" w:type="pct"/>
            <w:gridSpan w:val="29"/>
            <w:shd w:val="clear" w:color="auto" w:fill="FFFFFF"/>
          </w:tcPr>
          <w:p w:rsidR="00532D59" w:rsidRPr="00B37C80" w:rsidRDefault="00532D59" w:rsidP="00DE0359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532D59" w:rsidRDefault="00532D59" w:rsidP="00532D59">
      <w:pPr>
        <w:pStyle w:val="NAZORGWYDnazwaorganuwydajcegoprojektowanyakt"/>
        <w:ind w:left="0"/>
        <w:jc w:val="left"/>
      </w:pPr>
      <w:bookmarkStart w:id="5" w:name="_GoBack"/>
      <w:bookmarkEnd w:id="5"/>
    </w:p>
    <w:sectPr w:rsidR="0053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65" w:rsidRDefault="00731165" w:rsidP="00532D59">
      <w:pPr>
        <w:spacing w:line="240" w:lineRule="auto"/>
      </w:pPr>
      <w:r>
        <w:separator/>
      </w:r>
    </w:p>
  </w:endnote>
  <w:endnote w:type="continuationSeparator" w:id="0">
    <w:p w:rsidR="00731165" w:rsidRDefault="00731165" w:rsidP="00532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65" w:rsidRDefault="00731165" w:rsidP="00532D59">
      <w:pPr>
        <w:spacing w:line="240" w:lineRule="auto"/>
      </w:pPr>
      <w:r>
        <w:separator/>
      </w:r>
    </w:p>
  </w:footnote>
  <w:footnote w:type="continuationSeparator" w:id="0">
    <w:p w:rsidR="00731165" w:rsidRDefault="00731165" w:rsidP="00532D59">
      <w:pPr>
        <w:spacing w:line="240" w:lineRule="auto"/>
      </w:pPr>
      <w:r>
        <w:continuationSeparator/>
      </w:r>
    </w:p>
  </w:footnote>
  <w:footnote w:id="1">
    <w:p w:rsidR="00532D59" w:rsidRDefault="00532D59" w:rsidP="00532D5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1B30CD">
        <w:t xml:space="preserve">Minister Infrastruktury i Budownictwa kieruje działem administracji rządowej – transport, na podstawie § 1 ust. 2 pkt 3 rozporządzenia Prezesa Rady Ministrów z dnia </w:t>
      </w:r>
      <w:r>
        <w:t>13 grudnia 2017</w:t>
      </w:r>
      <w:r w:rsidRPr="001B30CD">
        <w:t xml:space="preserve"> r. w sprawie szczegółowego zakresu działania Ministra Infrastruktury i Budownictwa (Dz. U. poz. </w:t>
      </w:r>
      <w:r>
        <w:t>2322</w:t>
      </w:r>
      <w:r w:rsidRPr="001B30CD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1E4"/>
    <w:multiLevelType w:val="hybridMultilevel"/>
    <w:tmpl w:val="5B50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9"/>
    <w:rsid w:val="00532D59"/>
    <w:rsid w:val="00731165"/>
    <w:rsid w:val="009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32D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32D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32D59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32D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32D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32D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32D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32D5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32D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32D59"/>
    <w:pPr>
      <w:ind w:left="986" w:hanging="476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532D59"/>
    <w:pPr>
      <w:ind w:left="987"/>
    </w:pPr>
  </w:style>
  <w:style w:type="paragraph" w:customStyle="1" w:styleId="ODNONIKtreodnonika">
    <w:name w:val="ODNOŚNIK – treść odnośnika"/>
    <w:uiPriority w:val="19"/>
    <w:qFormat/>
    <w:rsid w:val="00532D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532D5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32D5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32D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32D5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32D59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32D59"/>
    <w:rPr>
      <w:b/>
    </w:rPr>
  </w:style>
  <w:style w:type="table" w:customStyle="1" w:styleId="TABELA1zszablonu">
    <w:name w:val="TABELA 1 z szablonu"/>
    <w:basedOn w:val="Tabela-Siatka"/>
    <w:uiPriority w:val="99"/>
    <w:rsid w:val="00532D59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5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532D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32D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32D59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32D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32D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32D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32D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32D5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32D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532D59"/>
    <w:pPr>
      <w:ind w:left="986" w:hanging="476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532D59"/>
    <w:pPr>
      <w:ind w:left="987"/>
    </w:pPr>
  </w:style>
  <w:style w:type="paragraph" w:customStyle="1" w:styleId="ODNONIKtreodnonika">
    <w:name w:val="ODNOŚNIK – treść odnośnika"/>
    <w:uiPriority w:val="19"/>
    <w:qFormat/>
    <w:rsid w:val="00532D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532D5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32D5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32D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32D5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32D59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32D59"/>
    <w:rPr>
      <w:b/>
    </w:rPr>
  </w:style>
  <w:style w:type="table" w:customStyle="1" w:styleId="TABELA1zszablonu">
    <w:name w:val="TABELA 1 z szablonu"/>
    <w:basedOn w:val="Tabela-Siatka"/>
    <w:uiPriority w:val="99"/>
    <w:rsid w:val="00532D59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53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 Maciej</dc:creator>
  <cp:lastModifiedBy>Wozniak Maciej</cp:lastModifiedBy>
  <cp:revision>1</cp:revision>
  <dcterms:created xsi:type="dcterms:W3CDTF">2017-12-28T09:55:00Z</dcterms:created>
  <dcterms:modified xsi:type="dcterms:W3CDTF">2017-12-28T09:56:00Z</dcterms:modified>
</cp:coreProperties>
</file>