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F875" w14:textId="77777777" w:rsidR="002C48AD" w:rsidRDefault="002C48AD" w:rsidP="002C48AD">
      <w:pPr>
        <w:rPr>
          <w:sz w:val="22"/>
          <w:szCs w:val="22"/>
        </w:rPr>
      </w:pPr>
      <w:r>
        <w:t>Szanowni Państwo,</w:t>
      </w:r>
    </w:p>
    <w:p w14:paraId="1AD59432" w14:textId="77777777" w:rsidR="002C48AD" w:rsidRDefault="002C48AD" w:rsidP="002C48AD"/>
    <w:p w14:paraId="0EA30707" w14:textId="77777777" w:rsidR="002C48AD" w:rsidRDefault="002C48AD" w:rsidP="002C48AD">
      <w:r>
        <w:t>w nawiązaniu do załączonego pisma informujemy, że dwa z ujętych w Państwa piśmie postulatów zostały uwzględnione w projektach nowych wzorów bazowych.</w:t>
      </w:r>
    </w:p>
    <w:p w14:paraId="1F514840" w14:textId="77777777" w:rsidR="002C48AD" w:rsidRDefault="002C48AD" w:rsidP="002C48AD"/>
    <w:p w14:paraId="0C4D7547" w14:textId="77777777" w:rsidR="002C48AD" w:rsidRDefault="002C48AD" w:rsidP="002C48AD">
      <w:pPr>
        <w:pStyle w:val="Akapitzlist"/>
        <w:numPr>
          <w:ilvl w:val="0"/>
          <w:numId w:val="11"/>
        </w:numPr>
      </w:pPr>
      <w:r>
        <w:t>Uwzględniony został postulat dotyczący określania przedmiotu zamówienia ujętego w definicji Robót.</w:t>
      </w:r>
    </w:p>
    <w:p w14:paraId="1298D6D9" w14:textId="77777777" w:rsidR="002C48AD" w:rsidRDefault="002C48AD" w:rsidP="002C48AD"/>
    <w:p w14:paraId="0C770333" w14:textId="77777777" w:rsidR="002C48AD" w:rsidRDefault="002C48AD" w:rsidP="002C48AD">
      <w:r>
        <w:t>W projektach nowych wzorów bazowych wprowadzono definicję Robót w brzmieniu:</w:t>
      </w:r>
    </w:p>
    <w:p w14:paraId="4CC27020" w14:textId="77777777" w:rsidR="002C48AD" w:rsidRDefault="002C48AD" w:rsidP="002C48AD"/>
    <w:p w14:paraId="5A546918" w14:textId="77777777" w:rsidR="002C48AD" w:rsidRDefault="002C48AD" w:rsidP="002C48AD">
      <w:pPr>
        <w:spacing w:before="120" w:line="276" w:lineRule="auto"/>
        <w:rPr>
          <w:i/>
          <w:iCs/>
        </w:rPr>
      </w:pPr>
      <w:r>
        <w:rPr>
          <w:b/>
          <w:bCs/>
          <w:i/>
          <w:iCs/>
        </w:rPr>
        <w:t>Roboty</w:t>
      </w:r>
      <w:r>
        <w:rPr>
          <w:i/>
          <w:iCs/>
        </w:rPr>
        <w:t xml:space="preserve"> – oznaczają wszelkie prace, w tym prace projektowe i roboty budowlane, włączając w to wszystkie prace, które są konieczne dla stabilności, ukończenia lub bezpiecznej i właściwej eksploatacji przedmiotu Umowy, które Wykonawca powinien wykonać w celu realizacji przedmiotu Umowy zgodnie z wymaganiami Zamawiającego opisanymi w SWZ, w tym PFU, co obejmuje także wykonanie dokumentacji powykonawczej, sprawowanie nadzoru autorskiego, uzyskanie kompletu dokumentów związanych z procesem certyfikacji </w:t>
      </w:r>
      <w:r>
        <w:rPr>
          <w:i/>
          <w:iCs/>
          <w:highlight w:val="yellow"/>
        </w:rPr>
        <w:t>oraz przeprowadzenie wymaganych Umową szkoleń*.</w:t>
      </w:r>
    </w:p>
    <w:p w14:paraId="7350A604" w14:textId="77777777" w:rsidR="002C48AD" w:rsidRDefault="002C48AD" w:rsidP="002C48AD">
      <w:pPr>
        <w:spacing w:before="120" w:line="276" w:lineRule="auto"/>
        <w:rPr>
          <w:i/>
          <w:iCs/>
        </w:rPr>
      </w:pPr>
      <w:r>
        <w:rPr>
          <w:i/>
          <w:iCs/>
          <w:highlight w:val="yellow"/>
        </w:rPr>
        <w:t>*pozostawić, jeżeli wchodzi w zakres przedmiotu zamówienia</w:t>
      </w:r>
    </w:p>
    <w:p w14:paraId="77FDE1A8" w14:textId="77777777" w:rsidR="002C48AD" w:rsidRDefault="002C48AD" w:rsidP="002C48AD">
      <w:pPr>
        <w:spacing w:before="120" w:line="276" w:lineRule="auto"/>
        <w:rPr>
          <w:i/>
          <w:iCs/>
        </w:rPr>
      </w:pPr>
    </w:p>
    <w:p w14:paraId="61C6F41F" w14:textId="77777777" w:rsidR="002C48AD" w:rsidRDefault="002C48AD" w:rsidP="002C48AD">
      <w:pPr>
        <w:spacing w:before="120" w:line="276" w:lineRule="auto"/>
        <w:rPr>
          <w:i/>
          <w:iCs/>
        </w:rPr>
      </w:pPr>
      <w:r>
        <w:rPr>
          <w:b/>
          <w:bCs/>
          <w:i/>
          <w:iCs/>
        </w:rPr>
        <w:t>Roboty</w:t>
      </w:r>
      <w:r>
        <w:rPr>
          <w:i/>
          <w:iCs/>
        </w:rPr>
        <w:t xml:space="preserve"> – oznaczają wszelkie prace, w tym prace projektowe (jeśli dotyczy zgodnie z § 14 ust. 2) i roboty budowlane, włączając w to wszystkie prace, które są konieczne dla stabilności, ukończenia lub bezpiecznej i właściwej eksploatacji przedmiotu Umowy, które Wykonawca powinien wykonać w celu realizacji przedmiotu Umowy uwzględniając wymagania Zamawiającego opisane w SWZ, co obejmuje także wykonanie dokumentacji powykonawczej, sprawowanie nadzoru autorskiego, uzyskanie kompletu dokumentów związanych z procesem certyfikacji </w:t>
      </w:r>
      <w:r>
        <w:rPr>
          <w:i/>
          <w:iCs/>
          <w:highlight w:val="yellow"/>
        </w:rPr>
        <w:t>oraz przeprowadzenie wymaganych Umową szkoleń*.</w:t>
      </w:r>
    </w:p>
    <w:p w14:paraId="28904079" w14:textId="77777777" w:rsidR="002C48AD" w:rsidRDefault="002C48AD" w:rsidP="002C48AD">
      <w:pPr>
        <w:spacing w:before="120" w:line="276" w:lineRule="auto"/>
        <w:rPr>
          <w:i/>
          <w:iCs/>
        </w:rPr>
      </w:pPr>
      <w:r>
        <w:rPr>
          <w:i/>
          <w:iCs/>
          <w:highlight w:val="yellow"/>
        </w:rPr>
        <w:t>*pozostawić, jeżeli wchodzi w zakres przedmiotu zamówienia</w:t>
      </w:r>
      <w:r>
        <w:rPr>
          <w:i/>
          <w:iCs/>
        </w:rPr>
        <w:t>.</w:t>
      </w:r>
    </w:p>
    <w:p w14:paraId="41063B6C" w14:textId="77777777" w:rsidR="002C48AD" w:rsidRDefault="002C48AD" w:rsidP="002C48AD"/>
    <w:p w14:paraId="2722736E" w14:textId="77777777" w:rsidR="002C48AD" w:rsidRDefault="002C48AD" w:rsidP="002C48AD">
      <w:pPr>
        <w:pStyle w:val="Akapitzlist"/>
        <w:numPr>
          <w:ilvl w:val="0"/>
          <w:numId w:val="11"/>
        </w:numPr>
      </w:pPr>
      <w:r>
        <w:t>Katalog Kosztów Ogólnych został rozszerzony o koszty ujęte w umowach bazowych GDDKiA.</w:t>
      </w:r>
    </w:p>
    <w:p w14:paraId="6FB30A97" w14:textId="77777777" w:rsidR="002C48AD" w:rsidRDefault="002C48AD" w:rsidP="002C48AD"/>
    <w:p w14:paraId="42AA3592" w14:textId="77777777" w:rsidR="002C48AD" w:rsidRDefault="002C48AD" w:rsidP="002C48AD">
      <w:r>
        <w:t>W projektach nowych wzorów bazowych wprowadzono Katalog Kosztów Ogólnych obejmuje:</w:t>
      </w:r>
    </w:p>
    <w:p w14:paraId="16D5FF7A" w14:textId="77777777" w:rsidR="002C48AD" w:rsidRDefault="002C48AD" w:rsidP="002C48AD">
      <w:pPr>
        <w:rPr>
          <w:color w:val="1F497D"/>
        </w:rPr>
      </w:pPr>
    </w:p>
    <w:p w14:paraId="2AB6B234" w14:textId="77777777" w:rsidR="002C48AD" w:rsidRDefault="002C48AD" w:rsidP="002C48AD">
      <w:pPr>
        <w:overflowPunct w:val="0"/>
        <w:autoSpaceDE w:val="0"/>
        <w:autoSpaceDN w:val="0"/>
        <w:spacing w:before="120"/>
        <w:ind w:firstLine="567"/>
        <w:textAlignment w:val="baseline"/>
        <w:rPr>
          <w:i/>
          <w:iCs/>
          <w:lang w:eastAsia="pl-PL"/>
        </w:rPr>
      </w:pPr>
      <w:r>
        <w:rPr>
          <w:i/>
          <w:iCs/>
        </w:rPr>
        <w:t>Przez Koszty Ogólne należy rozumieć:</w:t>
      </w:r>
    </w:p>
    <w:p w14:paraId="3DDF4849" w14:textId="77777777" w:rsidR="002C48AD" w:rsidRDefault="002C48AD" w:rsidP="002C48AD">
      <w:pPr>
        <w:pStyle w:val="Akapitzlist"/>
        <w:numPr>
          <w:ilvl w:val="0"/>
          <w:numId w:val="12"/>
        </w:numPr>
        <w:contextualSpacing/>
        <w:jc w:val="both"/>
        <w:rPr>
          <w:i/>
          <w:iCs/>
        </w:rPr>
      </w:pPr>
      <w:r>
        <w:rPr>
          <w:i/>
          <w:iCs/>
        </w:rPr>
        <w:t xml:space="preserve">koszty dostosowania się do warunków Umowy, tj. </w:t>
      </w:r>
    </w:p>
    <w:p w14:paraId="39E4F8BA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koszty Zabezpieczenia Wykonania;</w:t>
      </w:r>
    </w:p>
    <w:p w14:paraId="2026DA1A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koszty ubezpieczeń wymaganych Umową;</w:t>
      </w:r>
    </w:p>
    <w:p w14:paraId="0D89EBD1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>utrzymanie tablic informacyjnych, przejazdów, objazdów, dróg publicznych, czasowej organizacji ruchu (jeżeli okoliczność skutkująca wydłużeniem terminu realizacji Umowy lub Etapu wpłynęła na okres utrzymania wynikający z zatwierdzonego HRF);</w:t>
      </w:r>
    </w:p>
    <w:p w14:paraId="7F2878A1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koszt zabezpieczania Terenu Budowy;</w:t>
      </w:r>
    </w:p>
    <w:p w14:paraId="4EA8B22C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koszty czasowego zajęcia chodników, pasów drogowych i innych terenów na cele budowy (jeżeli okoliczność skutkująca wydłużeniem terminu realizacji Umowy lub Etapu wpłynęła na czas zajęcia chodników, pasów drogowych i innych terenów na cele budowy);</w:t>
      </w:r>
    </w:p>
    <w:p w14:paraId="38C81B3A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nadzór archeologiczny, nadzór przyrodniczy i środowiskowy, </w:t>
      </w:r>
      <w:r>
        <w:rPr>
          <w:i/>
          <w:iCs/>
          <w:color w:val="00B050"/>
        </w:rPr>
        <w:t>i nadzór autorski (projektanta), koszty obsługi geodezyjnej</w:t>
      </w:r>
      <w:r>
        <w:rPr>
          <w:i/>
          <w:iCs/>
        </w:rPr>
        <w:t xml:space="preserve">, </w:t>
      </w:r>
      <w:r>
        <w:rPr>
          <w:i/>
          <w:iCs/>
          <w:color w:val="00B050"/>
        </w:rPr>
        <w:t>laboratorium, koszt bezpieczeństwa i higieny pracy</w:t>
      </w:r>
      <w:r>
        <w:rPr>
          <w:i/>
          <w:iCs/>
          <w:strike/>
        </w:rPr>
        <w:t xml:space="preserve"> </w:t>
      </w:r>
      <w:r>
        <w:rPr>
          <w:i/>
          <w:iCs/>
        </w:rPr>
        <w:t>(jeżeli okoliczność skutkująca wydłużeniem terminu realizacji Umowy lub Etapu wpłynęła na okres prowadzenia Robót wymagający sprawowania nadzoru, wynikający z zatwierdzonego HRF);</w:t>
      </w:r>
    </w:p>
    <w:p w14:paraId="6FC9405B" w14:textId="77777777" w:rsidR="002C48AD" w:rsidRDefault="002C48AD" w:rsidP="002C48AD">
      <w:pPr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odwodnienie Terenu Budowy (tylko koszty stałe ponoszone w postaci opłat za zrzut wody);</w:t>
      </w:r>
    </w:p>
    <w:p w14:paraId="16B6DD6B" w14:textId="77777777" w:rsidR="002C48AD" w:rsidRDefault="002C48AD" w:rsidP="002C48AD">
      <w:pPr>
        <w:ind w:left="1428"/>
        <w:rPr>
          <w:i/>
          <w:iCs/>
        </w:rPr>
      </w:pPr>
    </w:p>
    <w:p w14:paraId="00591D2E" w14:textId="77777777" w:rsidR="002C48AD" w:rsidRDefault="002C48AD" w:rsidP="002C48AD">
      <w:pPr>
        <w:pStyle w:val="Akapitzlist"/>
        <w:numPr>
          <w:ilvl w:val="0"/>
          <w:numId w:val="12"/>
        </w:numPr>
        <w:spacing w:after="120"/>
        <w:ind w:left="992" w:hanging="425"/>
        <w:contextualSpacing/>
        <w:jc w:val="both"/>
        <w:rPr>
          <w:i/>
          <w:iCs/>
        </w:rPr>
      </w:pPr>
      <w:r>
        <w:rPr>
          <w:i/>
          <w:iCs/>
        </w:rPr>
        <w:t>koszt utrzymania zaplecza Wykonawcy:</w:t>
      </w:r>
    </w:p>
    <w:p w14:paraId="75C10FE0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</w:rPr>
      </w:pPr>
      <w:r>
        <w:rPr>
          <w:i/>
          <w:iCs/>
        </w:rPr>
        <w:t xml:space="preserve">koszty utrzymania zaplecza budowy </w:t>
      </w:r>
      <w:r>
        <w:rPr>
          <w:i/>
          <w:iCs/>
          <w:color w:val="00B050"/>
        </w:rPr>
        <w:t xml:space="preserve">wraz z wyposażeniem (wynajem lub amortyzacja), </w:t>
      </w:r>
      <w:r>
        <w:rPr>
          <w:i/>
          <w:iCs/>
        </w:rPr>
        <w:t xml:space="preserve">w tym powierzchni biurowej, kontenerów </w:t>
      </w:r>
      <w:r>
        <w:rPr>
          <w:i/>
          <w:iCs/>
          <w:color w:val="00B050"/>
        </w:rPr>
        <w:t>biurowych, socjalnych, magazynowych, placów składowych</w:t>
      </w:r>
      <w:r>
        <w:rPr>
          <w:i/>
          <w:iCs/>
        </w:rPr>
        <w:t>;</w:t>
      </w:r>
    </w:p>
    <w:p w14:paraId="0A8AFDFD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</w:rPr>
      </w:pPr>
      <w:r>
        <w:rPr>
          <w:i/>
          <w:iCs/>
        </w:rPr>
        <w:t>koszt mediów (woda, ścieki ogrzewanie, energia elektryczna, Internet, telefony, drukarki);</w:t>
      </w:r>
    </w:p>
    <w:p w14:paraId="113E8D48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</w:rPr>
      </w:pPr>
      <w:r>
        <w:rPr>
          <w:i/>
          <w:iCs/>
        </w:rPr>
        <w:t>koszt sprzątania biur budowy;</w:t>
      </w:r>
    </w:p>
    <w:p w14:paraId="27BEC9BE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  <w:color w:val="00B050"/>
        </w:rPr>
      </w:pPr>
      <w:r>
        <w:rPr>
          <w:i/>
          <w:iCs/>
          <w:color w:val="00B050"/>
        </w:rPr>
        <w:t>koszt wynajmu lub amortyzacji rusztowań lub konstrukcji wsporczych, deskowań;</w:t>
      </w:r>
    </w:p>
    <w:p w14:paraId="5D4E358B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  <w:color w:val="00B050"/>
        </w:rPr>
      </w:pPr>
      <w:r>
        <w:rPr>
          <w:i/>
          <w:iCs/>
          <w:color w:val="00B050"/>
        </w:rPr>
        <w:t>wynajem lub amortyzacja oraz utrzymanie IT (w tym koszty sprzętu IT przypisanego do biura i personelu biura);</w:t>
      </w:r>
    </w:p>
    <w:p w14:paraId="1C690631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  <w:color w:val="00B050"/>
        </w:rPr>
      </w:pPr>
      <w:r>
        <w:rPr>
          <w:i/>
          <w:iCs/>
        </w:rPr>
        <w:t>koszty ochrony zaplecza Wykonawcy;</w:t>
      </w:r>
    </w:p>
    <w:p w14:paraId="041F4079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</w:rPr>
      </w:pPr>
      <w:r>
        <w:rPr>
          <w:i/>
          <w:iCs/>
        </w:rPr>
        <w:t>koszt wynajmu ewentualnych ogrodzeń Terenu Budowy;</w:t>
      </w:r>
    </w:p>
    <w:p w14:paraId="3DF91E0D" w14:textId="77777777" w:rsidR="002C48AD" w:rsidRDefault="002C48AD" w:rsidP="002C48AD">
      <w:pPr>
        <w:numPr>
          <w:ilvl w:val="0"/>
          <w:numId w:val="14"/>
        </w:numPr>
        <w:spacing w:after="0" w:line="240" w:lineRule="auto"/>
        <w:ind w:left="1701"/>
        <w:rPr>
          <w:i/>
          <w:iCs/>
        </w:rPr>
      </w:pPr>
      <w:r>
        <w:rPr>
          <w:i/>
          <w:iCs/>
        </w:rPr>
        <w:t xml:space="preserve">koszty wynajmu lub amortyzacji głównego sprzętu. </w:t>
      </w:r>
    </w:p>
    <w:p w14:paraId="1902A620" w14:textId="77777777" w:rsidR="002C48AD" w:rsidRDefault="002C48AD" w:rsidP="002C48AD">
      <w:pPr>
        <w:ind w:left="1701"/>
        <w:rPr>
          <w:i/>
          <w:iCs/>
        </w:rPr>
      </w:pPr>
    </w:p>
    <w:p w14:paraId="15ABE575" w14:textId="77777777" w:rsidR="002C48AD" w:rsidRDefault="002C48AD" w:rsidP="002C48AD">
      <w:pPr>
        <w:pStyle w:val="Akapitzlist"/>
        <w:numPr>
          <w:ilvl w:val="0"/>
          <w:numId w:val="12"/>
        </w:numPr>
        <w:ind w:left="993" w:hanging="426"/>
        <w:contextualSpacing/>
        <w:jc w:val="both"/>
        <w:rPr>
          <w:i/>
          <w:iCs/>
        </w:rPr>
      </w:pPr>
      <w:r>
        <w:rPr>
          <w:i/>
          <w:iCs/>
          <w:color w:val="00B050"/>
        </w:rPr>
        <w:t>koszty zarządu tj. koszty administracyjno-gospodarcze związane z realizacją Umowy;</w:t>
      </w:r>
    </w:p>
    <w:p w14:paraId="7E8E6615" w14:textId="77777777" w:rsidR="002C48AD" w:rsidRDefault="002C48AD" w:rsidP="002C48AD">
      <w:pPr>
        <w:pStyle w:val="Akapitzlist"/>
        <w:ind w:left="993"/>
        <w:jc w:val="both"/>
        <w:rPr>
          <w:i/>
          <w:iCs/>
        </w:rPr>
      </w:pPr>
    </w:p>
    <w:p w14:paraId="37EF36C1" w14:textId="77777777" w:rsidR="002C48AD" w:rsidRDefault="002C48AD" w:rsidP="002C48AD">
      <w:pPr>
        <w:pStyle w:val="Akapitzlist"/>
        <w:numPr>
          <w:ilvl w:val="0"/>
          <w:numId w:val="12"/>
        </w:numPr>
        <w:ind w:left="993" w:hanging="426"/>
        <w:contextualSpacing/>
        <w:jc w:val="both"/>
        <w:rPr>
          <w:i/>
          <w:iCs/>
        </w:rPr>
      </w:pPr>
      <w:r>
        <w:rPr>
          <w:i/>
          <w:iCs/>
        </w:rPr>
        <w:t>koszt utrzymania personelu biura budowy:</w:t>
      </w:r>
    </w:p>
    <w:p w14:paraId="6F145F28" w14:textId="77777777" w:rsidR="002C48AD" w:rsidRDefault="002C48AD" w:rsidP="002C48AD">
      <w:pPr>
        <w:numPr>
          <w:ilvl w:val="0"/>
          <w:numId w:val="15"/>
        </w:numPr>
        <w:spacing w:after="0" w:line="240" w:lineRule="auto"/>
        <w:ind w:left="993" w:firstLine="0"/>
        <w:rPr>
          <w:i/>
          <w:iCs/>
          <w:color w:val="00B050"/>
        </w:rPr>
      </w:pPr>
      <w:r>
        <w:rPr>
          <w:i/>
          <w:iCs/>
        </w:rPr>
        <w:t xml:space="preserve">koszt zatrudnienia, </w:t>
      </w:r>
      <w:r>
        <w:rPr>
          <w:i/>
          <w:iCs/>
          <w:color w:val="00B050"/>
        </w:rPr>
        <w:t>w tym koszty wynagrodzeń personelu</w:t>
      </w:r>
      <w:r>
        <w:rPr>
          <w:i/>
          <w:iCs/>
        </w:rPr>
        <w:t xml:space="preserve"> </w:t>
      </w:r>
      <w:r>
        <w:rPr>
          <w:i/>
          <w:iCs/>
          <w:strike/>
        </w:rPr>
        <w:t xml:space="preserve">kierowniczego,  </w:t>
      </w:r>
      <w:r>
        <w:rPr>
          <w:i/>
          <w:iCs/>
          <w:color w:val="00B050"/>
        </w:rPr>
        <w:t>oraz mieszkań służbowych Personelu Wykonawcy, podróży służbowych, delegacji;</w:t>
      </w:r>
    </w:p>
    <w:p w14:paraId="7B936196" w14:textId="77777777" w:rsidR="002C48AD" w:rsidRDefault="002C48AD" w:rsidP="002C48AD">
      <w:pPr>
        <w:ind w:left="993"/>
        <w:rPr>
          <w:i/>
          <w:iCs/>
        </w:rPr>
      </w:pPr>
      <w:r>
        <w:rPr>
          <w:i/>
          <w:iCs/>
          <w:strike/>
        </w:rPr>
        <w:t>tj. koszt nadzoru służb bhp</w:t>
      </w:r>
      <w:r>
        <w:rPr>
          <w:i/>
          <w:iCs/>
        </w:rPr>
        <w:t>.</w:t>
      </w:r>
    </w:p>
    <w:p w14:paraId="6013B299" w14:textId="77777777" w:rsidR="002C48AD" w:rsidRDefault="002C48AD" w:rsidP="002C48AD">
      <w:pPr>
        <w:rPr>
          <w:color w:val="1F497D"/>
        </w:rPr>
      </w:pPr>
    </w:p>
    <w:p w14:paraId="6EB78234" w14:textId="77777777" w:rsidR="002C48AD" w:rsidRDefault="002C48AD" w:rsidP="002C48AD"/>
    <w:p w14:paraId="110AF0F1" w14:textId="77777777" w:rsidR="002C48AD" w:rsidRDefault="002C48AD" w:rsidP="002C48AD">
      <w:pPr>
        <w:pStyle w:val="Akapitzlist"/>
        <w:numPr>
          <w:ilvl w:val="0"/>
          <w:numId w:val="11"/>
        </w:numPr>
      </w:pPr>
      <w:r>
        <w:t>Nie jest możliwe uwzględnienie postulatu odnoszącego się do terminu realizacji zamówienia.</w:t>
      </w:r>
    </w:p>
    <w:p w14:paraId="6BC9FE54" w14:textId="77777777" w:rsidR="002C48AD" w:rsidRDefault="002C48AD" w:rsidP="002C48AD"/>
    <w:p w14:paraId="3F2EBFDF" w14:textId="77777777" w:rsidR="002C48AD" w:rsidRDefault="002C48AD" w:rsidP="002C48AD">
      <w:pPr>
        <w:overflowPunct w:val="0"/>
        <w:autoSpaceDE w:val="0"/>
        <w:autoSpaceDN w:val="0"/>
        <w:spacing w:before="120" w:line="276" w:lineRule="auto"/>
        <w:textAlignment w:val="baseline"/>
      </w:pPr>
      <w:r>
        <w:t>W projektach nowych wzorów bazowych wskazano, że:</w:t>
      </w:r>
    </w:p>
    <w:p w14:paraId="7F83A274" w14:textId="77777777" w:rsidR="002C48AD" w:rsidRDefault="002C48AD" w:rsidP="002C48AD">
      <w:pPr>
        <w:overflowPunct w:val="0"/>
        <w:autoSpaceDE w:val="0"/>
        <w:autoSpaceDN w:val="0"/>
        <w:spacing w:before="120" w:line="276" w:lineRule="auto"/>
        <w:textAlignment w:val="baseline"/>
      </w:pPr>
    </w:p>
    <w:p w14:paraId="77FC312D" w14:textId="77777777" w:rsidR="002C48AD" w:rsidRDefault="002C48AD" w:rsidP="002C48AD">
      <w:pPr>
        <w:overflowPunct w:val="0"/>
        <w:autoSpaceDE w:val="0"/>
        <w:autoSpaceDN w:val="0"/>
        <w:spacing w:before="120" w:line="276" w:lineRule="auto"/>
        <w:textAlignment w:val="baseline"/>
        <w:rPr>
          <w:i/>
          <w:iCs/>
        </w:rPr>
      </w:pPr>
      <w:r>
        <w:rPr>
          <w:i/>
          <w:iCs/>
        </w:rPr>
        <w:lastRenderedPageBreak/>
        <w:t>Przedmiot Umowy, Wykonawca wykona zgodnie z terminami określonymi w Umowie, w terminach wskazanych w HRF, a w szczególności w niżej wskazanych terminach nastąpi:</w:t>
      </w:r>
    </w:p>
    <w:p w14:paraId="20F78110" w14:textId="77777777" w:rsidR="002C48AD" w:rsidRDefault="002C48AD" w:rsidP="002C48AD">
      <w:pPr>
        <w:pStyle w:val="Akapitzlist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spacing w:before="120" w:line="276" w:lineRule="auto"/>
        <w:ind w:left="1134" w:hanging="567"/>
        <w:jc w:val="both"/>
        <w:textAlignment w:val="baseline"/>
        <w:rPr>
          <w:i/>
          <w:iCs/>
          <w:highlight w:val="yellow"/>
        </w:rPr>
      </w:pPr>
      <w:r>
        <w:rPr>
          <w:i/>
          <w:iCs/>
        </w:rPr>
        <w:t xml:space="preserve">zakończenie wszystkich Robót (z zastrzeżeniem punktu poniżej), stwierdzone dokonaniem przez Zamawiającego Ostatniego Odbioru Końcowego, w tym przekazanie Zamawiającemu kompletnej dokumentacji powykonawczej oraz, </w:t>
      </w:r>
      <w:r>
        <w:rPr>
          <w:i/>
          <w:iCs/>
          <w:highlight w:val="yellow"/>
        </w:rPr>
        <w:t xml:space="preserve">dostarczenie Zamawiającemu kompletu dokumentów związanych z procesem certyfikacji, </w:t>
      </w:r>
      <w:r>
        <w:rPr>
          <w:i/>
          <w:iCs/>
        </w:rPr>
        <w:t xml:space="preserve"> - </w:t>
      </w:r>
      <w:r>
        <w:rPr>
          <w:i/>
          <w:iCs/>
          <w:highlight w:val="yellow"/>
        </w:rPr>
        <w:t>(wskazać liczbę miesięcy)</w:t>
      </w:r>
    </w:p>
    <w:p w14:paraId="521F0413" w14:textId="77777777" w:rsidR="002C48AD" w:rsidRDefault="002C48AD" w:rsidP="002C48AD">
      <w:pPr>
        <w:pStyle w:val="Akapitzlist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spacing w:before="120" w:line="276" w:lineRule="auto"/>
        <w:ind w:left="1134" w:hanging="567"/>
        <w:jc w:val="both"/>
        <w:textAlignment w:val="baseline"/>
        <w:rPr>
          <w:i/>
          <w:iCs/>
          <w:highlight w:val="yellow"/>
        </w:rPr>
      </w:pPr>
      <w:r>
        <w:rPr>
          <w:i/>
          <w:iCs/>
          <w:highlight w:val="yellow"/>
        </w:rPr>
        <w:t>dostarczenie Zamawiającemu zezwoleń na dopuszczenie do eksploatacji podsystemów strukturalnych, zgodnie z Ustawą o transporcie kolejowym – nie dłużej niż w ciągu</w:t>
      </w:r>
      <w:r>
        <w:rPr>
          <w:i/>
          <w:iCs/>
          <w:highlight w:val="yellow"/>
        </w:rPr>
        <w:br/>
        <w:t xml:space="preserve">8 (ośmiu) miesięcy od daty dokonania przez Zamawiającego Ostatniego Odbioru Końcowego*. </w:t>
      </w:r>
    </w:p>
    <w:p w14:paraId="0AEC2EC3" w14:textId="77777777" w:rsidR="002C48AD" w:rsidRDefault="002C48AD" w:rsidP="002C48AD">
      <w:pPr>
        <w:pStyle w:val="Akapitzlist"/>
        <w:shd w:val="clear" w:color="auto" w:fill="FFFFFF"/>
        <w:overflowPunct w:val="0"/>
        <w:autoSpaceDE w:val="0"/>
        <w:autoSpaceDN w:val="0"/>
        <w:spacing w:before="120" w:line="276" w:lineRule="auto"/>
        <w:ind w:left="1134" w:hanging="567"/>
        <w:jc w:val="both"/>
        <w:textAlignment w:val="baseline"/>
        <w:rPr>
          <w:i/>
          <w:iCs/>
          <w:sz w:val="20"/>
          <w:szCs w:val="20"/>
          <w:highlight w:val="yellow"/>
        </w:rPr>
      </w:pPr>
      <w:r>
        <w:rPr>
          <w:i/>
          <w:iCs/>
          <w:highlight w:val="yellow"/>
        </w:rPr>
        <w:t>*pozostawić § 4 ust. 1 pkt 2, jeśli zezwolenia Prezesa UTK są wymagane.</w:t>
      </w:r>
    </w:p>
    <w:p w14:paraId="21CAAADC" w14:textId="77777777" w:rsidR="002C48AD" w:rsidRDefault="002C48AD" w:rsidP="002C48AD"/>
    <w:p w14:paraId="7709805A" w14:textId="77777777" w:rsidR="002C48AD" w:rsidRDefault="002C48AD" w:rsidP="002C48AD">
      <w:pPr>
        <w:rPr>
          <w:rFonts w:ascii="Arial" w:hAnsi="Arial" w:cs="Arial"/>
          <w:sz w:val="20"/>
          <w:szCs w:val="20"/>
          <w:lang w:eastAsia="pl-PL"/>
        </w:rPr>
      </w:pPr>
    </w:p>
    <w:p w14:paraId="428DF302" w14:textId="77777777" w:rsidR="002C48AD" w:rsidRDefault="002C48AD" w:rsidP="002C48AD">
      <w:pPr>
        <w:rPr>
          <w:rFonts w:ascii="Calibri" w:hAnsi="Calibri" w:cs="Calibri"/>
          <w:color w:val="1F497D"/>
          <w:sz w:val="22"/>
          <w:szCs w:val="22"/>
        </w:rPr>
      </w:pPr>
      <w:r>
        <w:rPr>
          <w:color w:val="1F497D"/>
        </w:rPr>
        <w:t>Sekretariat PKP PLK S.A.</w:t>
      </w:r>
    </w:p>
    <w:p w14:paraId="5AB0665F" w14:textId="77777777" w:rsidR="002C48AD" w:rsidRDefault="002C48AD" w:rsidP="002C48AD">
      <w:pPr>
        <w:rPr>
          <w:color w:val="1F497D"/>
        </w:rPr>
      </w:pPr>
      <w:r>
        <w:rPr>
          <w:color w:val="1F497D"/>
        </w:rPr>
        <w:t>Centrum Realizacji Inwestycji</w:t>
      </w:r>
    </w:p>
    <w:p w14:paraId="45DA33A3" w14:textId="77777777" w:rsidR="00387AC3" w:rsidRPr="002D36D4" w:rsidRDefault="00387AC3" w:rsidP="00387AC3"/>
    <w:sectPr w:rsidR="00387AC3" w:rsidRPr="002D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4D"/>
    <w:multiLevelType w:val="hybridMultilevel"/>
    <w:tmpl w:val="DFF659D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580029"/>
    <w:multiLevelType w:val="hybridMultilevel"/>
    <w:tmpl w:val="B95A2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D61"/>
    <w:multiLevelType w:val="hybridMultilevel"/>
    <w:tmpl w:val="D6E0F8CC"/>
    <w:lvl w:ilvl="0" w:tplc="41B0800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245D"/>
    <w:multiLevelType w:val="hybridMultilevel"/>
    <w:tmpl w:val="47CA72F8"/>
    <w:lvl w:ilvl="0" w:tplc="F2D6AEFA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F71"/>
    <w:multiLevelType w:val="hybridMultilevel"/>
    <w:tmpl w:val="CC543EF8"/>
    <w:lvl w:ilvl="0" w:tplc="3F700324">
      <w:start w:val="1"/>
      <w:numFmt w:val="bullet"/>
      <w:pStyle w:val="Bezodstpw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874012"/>
    <w:multiLevelType w:val="hybridMultilevel"/>
    <w:tmpl w:val="1E7CDC3A"/>
    <w:lvl w:ilvl="0" w:tplc="30DE06E6">
      <w:start w:val="1"/>
      <w:numFmt w:val="bullet"/>
      <w:pStyle w:val="Nagwek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C6E"/>
    <w:multiLevelType w:val="hybridMultilevel"/>
    <w:tmpl w:val="4ED251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E6EB8EC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 w:tplc="C720B9A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BE0C48F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3A3EC77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E8603B1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6CFA3BC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D4E031B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CF9410E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4F7E69F2"/>
    <w:multiLevelType w:val="hybridMultilevel"/>
    <w:tmpl w:val="56A801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D02CEF"/>
    <w:multiLevelType w:val="hybridMultilevel"/>
    <w:tmpl w:val="0A246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F5483"/>
    <w:multiLevelType w:val="hybridMultilevel"/>
    <w:tmpl w:val="D5EE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501"/>
    <w:multiLevelType w:val="hybridMultilevel"/>
    <w:tmpl w:val="277C3B9E"/>
    <w:lvl w:ilvl="0" w:tplc="675EDB2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94" w:hanging="360"/>
      </w:pPr>
    </w:lvl>
    <w:lvl w:ilvl="2" w:tplc="0415001B">
      <w:start w:val="1"/>
      <w:numFmt w:val="lowerRoman"/>
      <w:lvlText w:val="%3."/>
      <w:lvlJc w:val="right"/>
      <w:pPr>
        <w:ind w:left="426" w:hanging="180"/>
      </w:pPr>
    </w:lvl>
    <w:lvl w:ilvl="3" w:tplc="0415000F">
      <w:start w:val="1"/>
      <w:numFmt w:val="decimal"/>
      <w:lvlText w:val="%4."/>
      <w:lvlJc w:val="left"/>
      <w:pPr>
        <w:ind w:left="1146" w:hanging="360"/>
      </w:pPr>
    </w:lvl>
    <w:lvl w:ilvl="4" w:tplc="04150019">
      <w:start w:val="1"/>
      <w:numFmt w:val="lowerLetter"/>
      <w:lvlText w:val="%5."/>
      <w:lvlJc w:val="left"/>
      <w:pPr>
        <w:ind w:left="1866" w:hanging="360"/>
      </w:pPr>
    </w:lvl>
    <w:lvl w:ilvl="5" w:tplc="0415001B">
      <w:start w:val="1"/>
      <w:numFmt w:val="lowerRoman"/>
      <w:lvlText w:val="%6."/>
      <w:lvlJc w:val="right"/>
      <w:pPr>
        <w:ind w:left="2586" w:hanging="180"/>
      </w:pPr>
    </w:lvl>
    <w:lvl w:ilvl="6" w:tplc="0415000F">
      <w:start w:val="1"/>
      <w:numFmt w:val="decimal"/>
      <w:lvlText w:val="%7."/>
      <w:lvlJc w:val="left"/>
      <w:pPr>
        <w:ind w:left="3306" w:hanging="360"/>
      </w:pPr>
    </w:lvl>
    <w:lvl w:ilvl="7" w:tplc="04150019">
      <w:start w:val="1"/>
      <w:numFmt w:val="lowerLetter"/>
      <w:lvlText w:val="%8."/>
      <w:lvlJc w:val="left"/>
      <w:pPr>
        <w:ind w:left="4026" w:hanging="360"/>
      </w:pPr>
    </w:lvl>
    <w:lvl w:ilvl="8" w:tplc="0415001B">
      <w:start w:val="1"/>
      <w:numFmt w:val="lowerRoman"/>
      <w:lvlText w:val="%9."/>
      <w:lvlJc w:val="right"/>
      <w:pPr>
        <w:ind w:left="4746" w:hanging="180"/>
      </w:pPr>
    </w:lvl>
  </w:abstractNum>
  <w:abstractNum w:abstractNumId="11" w15:restartNumberingAfterBreak="0">
    <w:nsid w:val="63405D76"/>
    <w:multiLevelType w:val="hybridMultilevel"/>
    <w:tmpl w:val="622CB26A"/>
    <w:lvl w:ilvl="0" w:tplc="10701158">
      <w:start w:val="1"/>
      <w:numFmt w:val="upperLetter"/>
      <w:pStyle w:val="Nagwek3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62D2359"/>
    <w:multiLevelType w:val="hybridMultilevel"/>
    <w:tmpl w:val="2BA0FEFC"/>
    <w:lvl w:ilvl="0" w:tplc="D0FA8682">
      <w:start w:val="1"/>
      <w:numFmt w:val="low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16E3B"/>
    <w:multiLevelType w:val="hybridMultilevel"/>
    <w:tmpl w:val="C23E4F8C"/>
    <w:lvl w:ilvl="0" w:tplc="30F69B5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423C1"/>
    <w:multiLevelType w:val="hybridMultilevel"/>
    <w:tmpl w:val="8C8C4FC8"/>
    <w:lvl w:ilvl="0" w:tplc="33E660EC">
      <w:start w:val="1"/>
      <w:numFmt w:val="lowerRoman"/>
      <w:pStyle w:val="Nagwek4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C797A89"/>
    <w:multiLevelType w:val="hybridMultilevel"/>
    <w:tmpl w:val="A2A4D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543">
    <w:abstractNumId w:val="13"/>
  </w:num>
  <w:num w:numId="2" w16cid:durableId="1007172993">
    <w:abstractNumId w:val="2"/>
  </w:num>
  <w:num w:numId="3" w16cid:durableId="607352185">
    <w:abstractNumId w:val="1"/>
  </w:num>
  <w:num w:numId="4" w16cid:durableId="2097171974">
    <w:abstractNumId w:val="0"/>
  </w:num>
  <w:num w:numId="5" w16cid:durableId="1043556372">
    <w:abstractNumId w:val="8"/>
  </w:num>
  <w:num w:numId="6" w16cid:durableId="1013341693">
    <w:abstractNumId w:val="11"/>
  </w:num>
  <w:num w:numId="7" w16cid:durableId="578946460">
    <w:abstractNumId w:val="14"/>
  </w:num>
  <w:num w:numId="8" w16cid:durableId="2111274038">
    <w:abstractNumId w:val="4"/>
  </w:num>
  <w:num w:numId="9" w16cid:durableId="362365831">
    <w:abstractNumId w:val="12"/>
  </w:num>
  <w:num w:numId="10" w16cid:durableId="1872256986">
    <w:abstractNumId w:val="5"/>
  </w:num>
  <w:num w:numId="11" w16cid:durableId="232156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868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8475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6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3779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3460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TQzsTQ0sjSzNDZV0lEKTi0uzszPAykwqQUAIv/U5ywAAAA="/>
  </w:docVars>
  <w:rsids>
    <w:rsidRoot w:val="00FB7C21"/>
    <w:rsid w:val="000A79E9"/>
    <w:rsid w:val="002C48AD"/>
    <w:rsid w:val="002D36D4"/>
    <w:rsid w:val="00387AC3"/>
    <w:rsid w:val="003E1A24"/>
    <w:rsid w:val="005C7A06"/>
    <w:rsid w:val="00707D42"/>
    <w:rsid w:val="0089019A"/>
    <w:rsid w:val="0094415A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004"/>
  <w15:chartTrackingRefBased/>
  <w15:docId w15:val="{F3657286-E6B8-4FF3-B807-29BD1B7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24"/>
    <w:pPr>
      <w:spacing w:after="120" w:line="30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15A"/>
    <w:pPr>
      <w:keepNext/>
      <w:keepLines/>
      <w:numPr>
        <w:numId w:val="1"/>
      </w:numPr>
      <w:spacing w:before="120"/>
      <w:ind w:left="567" w:hanging="567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15A"/>
    <w:pPr>
      <w:keepNext/>
      <w:keepLines/>
      <w:numPr>
        <w:numId w:val="2"/>
      </w:numPr>
      <w:ind w:left="1134" w:hanging="56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15A"/>
    <w:pPr>
      <w:keepNext/>
      <w:keepLines/>
      <w:numPr>
        <w:numId w:val="6"/>
      </w:numPr>
      <w:ind w:left="1701" w:hanging="567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15A"/>
    <w:pPr>
      <w:keepNext/>
      <w:keepLines/>
      <w:numPr>
        <w:numId w:val="7"/>
      </w:numPr>
      <w:ind w:left="2268" w:hanging="567"/>
      <w:outlineLvl w:val="3"/>
    </w:pPr>
    <w:rPr>
      <w:rFonts w:eastAsiaTheme="majorEastAsia" w:cstheme="majorBidi"/>
      <w:i/>
      <w:iCs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36D4"/>
    <w:pPr>
      <w:keepNext/>
      <w:keepLines/>
      <w:numPr>
        <w:numId w:val="9"/>
      </w:numPr>
      <w:ind w:left="2268" w:hanging="567"/>
      <w:outlineLvl w:val="4"/>
    </w:pPr>
    <w:rPr>
      <w:rFonts w:eastAsiaTheme="majorEastAsia"/>
    </w:rPr>
  </w:style>
  <w:style w:type="paragraph" w:styleId="Nagwek6">
    <w:name w:val="heading 6"/>
    <w:aliases w:val="bullet"/>
    <w:basedOn w:val="Normalny"/>
    <w:link w:val="Nagwek6Znak"/>
    <w:uiPriority w:val="9"/>
    <w:unhideWhenUsed/>
    <w:qFormat/>
    <w:rsid w:val="002D36D4"/>
    <w:pPr>
      <w:keepNext/>
      <w:keepLines/>
      <w:numPr>
        <w:numId w:val="10"/>
      </w:numPr>
      <w:spacing w:before="40"/>
      <w:ind w:left="1134" w:hanging="567"/>
      <w:outlineLvl w:val="5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15A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15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15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15A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paragraph" w:styleId="Bezodstpw">
    <w:name w:val="No Spacing"/>
    <w:aliases w:val="wypunktowanie"/>
    <w:basedOn w:val="Normalny"/>
    <w:uiPriority w:val="1"/>
    <w:rsid w:val="002D36D4"/>
    <w:pPr>
      <w:numPr>
        <w:numId w:val="8"/>
      </w:numPr>
      <w:ind w:left="924" w:hanging="357"/>
    </w:pPr>
    <w:rPr>
      <w:rFonts w:cstheme="minorBidi"/>
      <w:szCs w:val="22"/>
    </w:rPr>
  </w:style>
  <w:style w:type="character" w:customStyle="1" w:styleId="Nagwek6Znak">
    <w:name w:val="Nagłówek 6 Znak"/>
    <w:aliases w:val="bullet Znak"/>
    <w:basedOn w:val="Domylnaczcionkaakapitu"/>
    <w:link w:val="Nagwek6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character" w:customStyle="1" w:styleId="AkapitzlistZnak">
    <w:name w:val="Akapit z listą Znak"/>
    <w:aliases w:val="BulletC Znak,Obiekt Znak,Numerowanie Znak,Wyliczanie Znak,normalny tekst Znak,Akapit z listą31 Znak,Bullets Znak,List Paragraph1 Znak,Akapit z listą3 Znak,Wypunktowanie Znak,normalny Znak,test ciągły Znak,Podsis rysunku Znak,lp1 Znak"/>
    <w:basedOn w:val="Domylnaczcionkaakapitu"/>
    <w:link w:val="Akapitzlist"/>
    <w:uiPriority w:val="34"/>
    <w:locked/>
    <w:rsid w:val="002C48AD"/>
  </w:style>
  <w:style w:type="paragraph" w:styleId="Akapitzlist">
    <w:name w:val="List Paragraph"/>
    <w:aliases w:val="BulletC,Obiekt,Numerowanie,Wyliczanie,normalny tekst,Akapit z listą31,Bullets,List Paragraph1,Akapit z listą3,Wypunktowanie,normalny,test ciągły,Podsis rysunku,Alpha list,lp1,List Paragraph2,ISCG Numerowanie,Akapit z listą1,List Paragraph"/>
    <w:basedOn w:val="Normalny"/>
    <w:link w:val="AkapitzlistZnak"/>
    <w:uiPriority w:val="34"/>
    <w:qFormat/>
    <w:rsid w:val="002C48AD"/>
    <w:pPr>
      <w:spacing w:after="0" w:line="240" w:lineRule="auto"/>
      <w:ind w:left="72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3</cp:revision>
  <dcterms:created xsi:type="dcterms:W3CDTF">2022-10-25T13:08:00Z</dcterms:created>
  <dcterms:modified xsi:type="dcterms:W3CDTF">2022-10-25T13:08:00Z</dcterms:modified>
</cp:coreProperties>
</file>