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2C" w:rsidRDefault="002B4D2C" w:rsidP="00075659">
      <w:pPr>
        <w:spacing w:before="0"/>
        <w:jc w:val="right"/>
      </w:pPr>
    </w:p>
    <w:p w:rsidR="00A54120" w:rsidRPr="00310387" w:rsidRDefault="00075659" w:rsidP="00075659">
      <w:pPr>
        <w:spacing w:before="0"/>
        <w:jc w:val="right"/>
      </w:pPr>
      <w:r w:rsidRPr="00310387">
        <w:t xml:space="preserve">Warszawa, </w:t>
      </w:r>
      <w:r w:rsidR="00BC4FD4">
        <w:t>27 lipca</w:t>
      </w:r>
      <w:r w:rsidR="00DD1DDB">
        <w:t>2018</w:t>
      </w:r>
      <w:r w:rsidRPr="00310387">
        <w:t xml:space="preserve"> r.</w:t>
      </w:r>
    </w:p>
    <w:p w:rsidR="00FF194C" w:rsidRPr="00BC5344" w:rsidRDefault="00BC4FD4" w:rsidP="00075659">
      <w:pPr>
        <w:spacing w:before="0"/>
        <w:outlineLvl w:val="0"/>
        <w:rPr>
          <w:b/>
        </w:rPr>
      </w:pPr>
      <w:r>
        <w:rPr>
          <w:b/>
        </w:rPr>
        <w:t xml:space="preserve">Piotr Macioszek </w:t>
      </w:r>
    </w:p>
    <w:p w:rsidR="00BC5344" w:rsidRDefault="00BC4FD4" w:rsidP="00075659">
      <w:pPr>
        <w:spacing w:before="0"/>
        <w:outlineLvl w:val="0"/>
        <w:rPr>
          <w:b/>
        </w:rPr>
      </w:pPr>
      <w:r>
        <w:rPr>
          <w:b/>
        </w:rPr>
        <w:t>Wicep</w:t>
      </w:r>
      <w:r w:rsidR="00BC5344" w:rsidRPr="00BC5344">
        <w:rPr>
          <w:b/>
        </w:rPr>
        <w:t>rezes Zarządu</w:t>
      </w:r>
    </w:p>
    <w:p w:rsidR="003A685F" w:rsidRPr="00BC5344" w:rsidRDefault="003A685F" w:rsidP="00075659">
      <w:pPr>
        <w:spacing w:before="0"/>
        <w:outlineLvl w:val="0"/>
        <w:rPr>
          <w:b/>
        </w:rPr>
      </w:pPr>
      <w:r>
        <w:rPr>
          <w:b/>
        </w:rPr>
        <w:t xml:space="preserve">Przewodniczący Sekcji Przewoźników Kolejowych </w:t>
      </w:r>
      <w:bookmarkStart w:id="0" w:name="_GoBack"/>
      <w:bookmarkEnd w:id="0"/>
    </w:p>
    <w:p w:rsidR="00075659" w:rsidRPr="00BC5344" w:rsidRDefault="00075659" w:rsidP="00075659">
      <w:pPr>
        <w:spacing w:before="0"/>
        <w:outlineLvl w:val="0"/>
        <w:rPr>
          <w:b/>
        </w:rPr>
      </w:pPr>
      <w:r w:rsidRPr="00BC5344">
        <w:rPr>
          <w:b/>
        </w:rPr>
        <w:t>Izby Gospodarczej Transportu Lądowego</w:t>
      </w:r>
    </w:p>
    <w:p w:rsidR="00310387" w:rsidRPr="00BC5344" w:rsidRDefault="00310387" w:rsidP="00075659">
      <w:pPr>
        <w:spacing w:before="0"/>
        <w:outlineLvl w:val="0"/>
        <w:rPr>
          <w:b/>
          <w:i/>
          <w:sz w:val="20"/>
        </w:rPr>
      </w:pPr>
      <w:r w:rsidRPr="00BC5344">
        <w:rPr>
          <w:b/>
          <w:i/>
          <w:sz w:val="20"/>
        </w:rPr>
        <w:t>IGTL/</w:t>
      </w:r>
      <w:r w:rsidR="00BC4FD4">
        <w:rPr>
          <w:b/>
          <w:i/>
          <w:sz w:val="20"/>
        </w:rPr>
        <w:tab/>
      </w:r>
      <w:r w:rsidR="00BC4FD4">
        <w:rPr>
          <w:b/>
          <w:i/>
          <w:sz w:val="20"/>
        </w:rPr>
        <w:tab/>
      </w:r>
      <w:r w:rsidR="00BC4FD4">
        <w:rPr>
          <w:b/>
          <w:i/>
          <w:sz w:val="20"/>
        </w:rPr>
        <w:tab/>
      </w:r>
      <w:r w:rsidR="00BC4FD4">
        <w:rPr>
          <w:b/>
          <w:i/>
          <w:sz w:val="20"/>
        </w:rPr>
        <w:tab/>
        <w:t>/</w:t>
      </w:r>
      <w:r w:rsidR="00D11C6D">
        <w:rPr>
          <w:b/>
          <w:i/>
          <w:sz w:val="20"/>
        </w:rPr>
        <w:t>2018</w:t>
      </w:r>
    </w:p>
    <w:p w:rsidR="00075659" w:rsidRDefault="00075659" w:rsidP="00075659">
      <w:pPr>
        <w:spacing w:before="0"/>
        <w:jc w:val="right"/>
        <w:outlineLvl w:val="0"/>
        <w:rPr>
          <w:b/>
        </w:rPr>
      </w:pPr>
    </w:p>
    <w:p w:rsidR="00563B75" w:rsidRPr="00310387" w:rsidRDefault="00563B75" w:rsidP="00075659">
      <w:pPr>
        <w:spacing w:before="0"/>
        <w:jc w:val="right"/>
        <w:outlineLvl w:val="0"/>
        <w:rPr>
          <w:b/>
        </w:rPr>
      </w:pPr>
    </w:p>
    <w:p w:rsidR="00FF194C" w:rsidRPr="00310387" w:rsidRDefault="00075659" w:rsidP="00075659">
      <w:pPr>
        <w:spacing w:before="0"/>
        <w:jc w:val="right"/>
        <w:outlineLvl w:val="0"/>
        <w:rPr>
          <w:b/>
        </w:rPr>
      </w:pPr>
      <w:r w:rsidRPr="00310387">
        <w:rPr>
          <w:b/>
        </w:rPr>
        <w:t xml:space="preserve">Pan </w:t>
      </w:r>
      <w:r w:rsidRPr="00310387">
        <w:rPr>
          <w:b/>
        </w:rPr>
        <w:tab/>
      </w:r>
      <w:r w:rsidRPr="00310387">
        <w:rPr>
          <w:b/>
        </w:rPr>
        <w:tab/>
      </w:r>
      <w:r w:rsidRPr="00310387">
        <w:rPr>
          <w:b/>
        </w:rPr>
        <w:tab/>
      </w:r>
      <w:r w:rsidRPr="00310387">
        <w:rPr>
          <w:b/>
        </w:rPr>
        <w:tab/>
      </w:r>
      <w:r w:rsidRPr="00310387">
        <w:rPr>
          <w:b/>
        </w:rPr>
        <w:tab/>
      </w:r>
    </w:p>
    <w:p w:rsidR="00075659" w:rsidRPr="00310387" w:rsidRDefault="00BC4FD4" w:rsidP="00075659">
      <w:pPr>
        <w:spacing w:before="0"/>
        <w:jc w:val="right"/>
        <w:outlineLvl w:val="0"/>
        <w:rPr>
          <w:b/>
        </w:rPr>
      </w:pPr>
      <w:r>
        <w:rPr>
          <w:b/>
        </w:rPr>
        <w:t xml:space="preserve">Andrzej </w:t>
      </w:r>
      <w:proofErr w:type="spellStart"/>
      <w:r>
        <w:rPr>
          <w:b/>
        </w:rPr>
        <w:t>Bittel</w:t>
      </w:r>
      <w:proofErr w:type="spellEnd"/>
      <w:r w:rsidR="00075659" w:rsidRPr="00310387">
        <w:rPr>
          <w:b/>
        </w:rPr>
        <w:tab/>
      </w:r>
      <w:r w:rsidR="00075659" w:rsidRPr="00310387">
        <w:rPr>
          <w:b/>
        </w:rPr>
        <w:tab/>
      </w:r>
      <w:r w:rsidR="00075659" w:rsidRPr="00310387">
        <w:rPr>
          <w:b/>
        </w:rPr>
        <w:tab/>
      </w:r>
    </w:p>
    <w:p w:rsidR="00075659" w:rsidRPr="00310387" w:rsidRDefault="00BC4FD4" w:rsidP="00075659">
      <w:pPr>
        <w:spacing w:before="0"/>
        <w:jc w:val="right"/>
        <w:outlineLvl w:val="0"/>
        <w:rPr>
          <w:b/>
        </w:rPr>
      </w:pPr>
      <w:r>
        <w:rPr>
          <w:b/>
        </w:rPr>
        <w:t xml:space="preserve">Podsekretarz Stanu </w:t>
      </w:r>
      <w:r w:rsidR="00075659" w:rsidRPr="00310387">
        <w:rPr>
          <w:b/>
        </w:rPr>
        <w:tab/>
      </w:r>
      <w:r w:rsidR="00075659" w:rsidRPr="00310387">
        <w:rPr>
          <w:b/>
        </w:rPr>
        <w:tab/>
      </w:r>
      <w:r w:rsidR="00075659" w:rsidRPr="00310387">
        <w:rPr>
          <w:b/>
        </w:rPr>
        <w:tab/>
      </w:r>
    </w:p>
    <w:p w:rsidR="00075659" w:rsidRDefault="00BC4FD4" w:rsidP="00075659">
      <w:pPr>
        <w:spacing w:before="0"/>
        <w:jc w:val="right"/>
        <w:outlineLvl w:val="0"/>
        <w:rPr>
          <w:b/>
        </w:rPr>
      </w:pPr>
      <w:r>
        <w:rPr>
          <w:b/>
        </w:rPr>
        <w:t xml:space="preserve">Ministerstwo Infrastruktury </w:t>
      </w:r>
      <w:r w:rsidR="00075659" w:rsidRPr="00310387">
        <w:rPr>
          <w:b/>
        </w:rPr>
        <w:tab/>
      </w:r>
    </w:p>
    <w:p w:rsidR="00BC4FD4" w:rsidRDefault="00BC4FD4" w:rsidP="00075659">
      <w:pPr>
        <w:spacing w:before="0"/>
        <w:jc w:val="right"/>
        <w:outlineLvl w:val="0"/>
        <w:rPr>
          <w:b/>
        </w:rPr>
      </w:pPr>
    </w:p>
    <w:p w:rsidR="00563B75" w:rsidRDefault="00563B75" w:rsidP="00075659">
      <w:pPr>
        <w:spacing w:before="0"/>
        <w:jc w:val="right"/>
        <w:outlineLvl w:val="0"/>
        <w:rPr>
          <w:b/>
        </w:rPr>
      </w:pPr>
    </w:p>
    <w:p w:rsidR="00563B75" w:rsidRPr="00310387" w:rsidRDefault="00563B75" w:rsidP="00075659">
      <w:pPr>
        <w:spacing w:before="0"/>
        <w:jc w:val="right"/>
        <w:outlineLvl w:val="0"/>
        <w:rPr>
          <w:b/>
        </w:rPr>
      </w:pPr>
    </w:p>
    <w:p w:rsidR="00BC4FD4" w:rsidRPr="0076430D" w:rsidRDefault="00BC4FD4" w:rsidP="00BC4FD4">
      <w:r>
        <w:t>Dotyczy</w:t>
      </w:r>
      <w:r w:rsidRPr="0076430D">
        <w:t xml:space="preserve"> pisma DTK.9.0211.1.2018.MS.7 z dnia 5 czerwca 2018 r. w sprawie konsultacji społecznych projektu rozporządzenia Ministra Infrastruktury</w:t>
      </w:r>
      <w:r w:rsidR="00273410">
        <w:t xml:space="preserve"> zmieniającego rozporządzenie w </w:t>
      </w:r>
      <w:r w:rsidRPr="0076430D">
        <w:t>sprawie ogólnych warunków prowadzenia ruchu kolejowego i sygnalizacji.</w:t>
      </w:r>
    </w:p>
    <w:p w:rsidR="002B4D2C" w:rsidRDefault="002B4D2C" w:rsidP="00FC6BE3">
      <w:pPr>
        <w:outlineLvl w:val="0"/>
        <w:rPr>
          <w:i/>
        </w:rPr>
      </w:pPr>
    </w:p>
    <w:p w:rsidR="00563B75" w:rsidRDefault="00563B75" w:rsidP="00FC6BE3">
      <w:pPr>
        <w:outlineLvl w:val="0"/>
        <w:rPr>
          <w:i/>
        </w:rPr>
      </w:pPr>
    </w:p>
    <w:p w:rsidR="002B4D2C" w:rsidRDefault="002B4D2C" w:rsidP="00FC6BE3">
      <w:pPr>
        <w:outlineLvl w:val="0"/>
      </w:pPr>
      <w:r>
        <w:t xml:space="preserve">Szanowny Panie </w:t>
      </w:r>
      <w:r w:rsidR="00BC4FD4">
        <w:t>Ministrze</w:t>
      </w:r>
    </w:p>
    <w:p w:rsidR="00BC4FD4" w:rsidRDefault="00BC4FD4" w:rsidP="00BC4FD4"/>
    <w:p w:rsidR="00563B75" w:rsidRPr="0076430D" w:rsidRDefault="00563B75" w:rsidP="00BC4FD4"/>
    <w:p w:rsidR="00BC4FD4" w:rsidRDefault="00BC4FD4" w:rsidP="00BC4FD4">
      <w:r>
        <w:t>Izba Gospodarcza Transportu Lądowego zgłasza</w:t>
      </w:r>
      <w:r w:rsidR="003C67ED">
        <w:t xml:space="preserve"> następujące uwagi</w:t>
      </w:r>
      <w:r w:rsidRPr="0076430D">
        <w:t xml:space="preserve"> do ostatniej wersji </w:t>
      </w:r>
      <w:r>
        <w:t>projektu (z dnia 12 lipca</w:t>
      </w:r>
      <w:r w:rsidRPr="0076430D">
        <w:t xml:space="preserve"> 2018 r.) </w:t>
      </w:r>
    </w:p>
    <w:p w:rsidR="00BC4FD4" w:rsidRPr="003C67ED" w:rsidRDefault="00BC4FD4" w:rsidP="00BC4FD4">
      <w:pPr>
        <w:rPr>
          <w:u w:val="single"/>
        </w:rPr>
      </w:pPr>
      <w:r w:rsidRPr="003C67ED">
        <w:rPr>
          <w:u w:val="single"/>
        </w:rPr>
        <w:t xml:space="preserve">Zmiana nr 4 </w:t>
      </w:r>
    </w:p>
    <w:p w:rsidR="00BC4FD4" w:rsidRDefault="00BC4FD4" w:rsidP="00BC4FD4">
      <w:r>
        <w:t>W par.</w:t>
      </w:r>
      <w:r w:rsidRPr="00AD4111">
        <w:t>§22</w:t>
      </w:r>
      <w:r>
        <w:t xml:space="preserve">  podtrzymujemy naszą opinię co do brzmienia tego punktu:</w:t>
      </w:r>
    </w:p>
    <w:p w:rsidR="00BC4FD4" w:rsidRDefault="00BC4FD4" w:rsidP="00BC4FD4">
      <w:r>
        <w:t>„4a Przepis ust.4pkt 1 nie dotyczy pociągów z pojazdami trakcyjnymi niespełniającymi warunk</w:t>
      </w:r>
      <w:r w:rsidR="00273410">
        <w:t>ów widoczności</w:t>
      </w:r>
      <w:r>
        <w:t xml:space="preserve">, o których mowa w karcie UIC651 (alternatywnie w załączniku do niniejszego rozporządzenia), na których nie zostały zainstalowane dodatkowe urządzenia techniczne lub dodatkowe wyposażenie umożliwiające spełnienie tych warunków. W pojazdach obok maszynisty musi przebywać pracownik posiadający znajomość co najmniej warunków miejscowych linii, zasad sygnalizacji i sposobu zatrzymania pociągu oraz powinny </w:t>
      </w:r>
      <w:r>
        <w:lastRenderedPageBreak/>
        <w:t>być wyposażone co najmniej w urządzenia kontrolujące czujność maszynisty oraz w urządzenia radiołączności pociągowej.”</w:t>
      </w:r>
    </w:p>
    <w:p w:rsidR="00BC4FD4" w:rsidRDefault="00BC4FD4" w:rsidP="00BC4FD4">
      <w:r>
        <w:t xml:space="preserve">Ideą wprowadzenia ograniczenia stosowania jednoosobowej obsady było wdrożenie zalecenia PKBWK wynikające z konieczności wyeliminowania skutków braku widoczności. Nowa </w:t>
      </w:r>
      <w:r w:rsidR="00273410">
        <w:t>wersja zaproponowana przez Departament Kolejnictwa</w:t>
      </w:r>
      <w:r>
        <w:t xml:space="preserve"> rozszerza wymogi tego zalecenia i nie uwzględnia sytuacji, w której część przewoźników pos</w:t>
      </w:r>
      <w:r w:rsidR="00273410">
        <w:t>iada lokomotywy jednokabinowe z </w:t>
      </w:r>
      <w:r>
        <w:t xml:space="preserve">zapewnioną dostateczną widocznością lub dokonało modernizacji lokomotyw w celu spełnienia tego wymogu. Jednocześnie </w:t>
      </w:r>
      <w:r w:rsidR="00273410">
        <w:t>istnieją typy</w:t>
      </w:r>
      <w:r>
        <w:t xml:space="preserve"> lokomotyw dwukabinowych </w:t>
      </w:r>
      <w:r w:rsidR="00273410">
        <w:t>o </w:t>
      </w:r>
      <w:r>
        <w:t xml:space="preserve">ograniczonej widoczności. </w:t>
      </w:r>
      <w:r w:rsidR="00273410">
        <w:t>Nowa w</w:t>
      </w:r>
      <w:r>
        <w:t xml:space="preserve">ersja </w:t>
      </w:r>
      <w:r w:rsidR="00273410">
        <w:t xml:space="preserve">przepisu </w:t>
      </w:r>
      <w:r>
        <w:t xml:space="preserve">zaproponowana przez </w:t>
      </w:r>
      <w:r w:rsidR="00273410">
        <w:t>projektodawcę</w:t>
      </w:r>
      <w:r>
        <w:t xml:space="preserve"> rozszerza skutki zapisu ponad rzeczywiste uzasadnienie.</w:t>
      </w:r>
    </w:p>
    <w:p w:rsidR="00563B75" w:rsidRDefault="00563B75" w:rsidP="00BC4FD4">
      <w:pPr>
        <w:rPr>
          <w:u w:val="single"/>
        </w:rPr>
      </w:pPr>
    </w:p>
    <w:p w:rsidR="00BC4FD4" w:rsidRPr="003C67ED" w:rsidRDefault="00BC4FD4" w:rsidP="00BC4FD4">
      <w:pPr>
        <w:rPr>
          <w:u w:val="single"/>
        </w:rPr>
      </w:pPr>
      <w:r w:rsidRPr="003C67ED">
        <w:rPr>
          <w:u w:val="single"/>
        </w:rPr>
        <w:t>Zmiana nr 5</w:t>
      </w:r>
    </w:p>
    <w:p w:rsidR="00BC4FD4" w:rsidRDefault="00BC4FD4" w:rsidP="00BC4FD4">
      <w:r>
        <w:t xml:space="preserve">Proponujemy pozostawić </w:t>
      </w:r>
      <w:r w:rsidRPr="0076430D">
        <w:t>brzmieni</w:t>
      </w:r>
      <w:r>
        <w:t>e</w:t>
      </w:r>
      <w:r w:rsidRPr="0076430D">
        <w:t xml:space="preserve"> §22</w:t>
      </w:r>
      <w:r>
        <w:t xml:space="preserve"> ust.3 bez zmian. Projektowana zmiana była już  rozpatrywana podczas poprzednich aktualizacji rozporządzenia i nie została wprowadzona w życie. Nie zaistniały w ostatnim okresie czasu żadne sytuacje, które wskazywałyby na to, że rozwiązanie </w:t>
      </w:r>
      <w:r w:rsidR="00273410">
        <w:t>funkcjonujące dotychczas</w:t>
      </w:r>
      <w:r>
        <w:t xml:space="preserve"> powoduje zag</w:t>
      </w:r>
      <w:r w:rsidR="00273410">
        <w:t>rożenie bezpieczeństwa ruchu. W </w:t>
      </w:r>
      <w:r>
        <w:t>żadnym z dotychczasowych wypadków lub zakłóceń eksploata</w:t>
      </w:r>
      <w:r w:rsidR="00273410">
        <w:t>cyjnych nie wskazano na </w:t>
      </w:r>
      <w:r>
        <w:t xml:space="preserve">nieprawidłowe wykonanie czynności oględzin przez pracowników nie posiadających udokumentowanych uprawnień rewidenta. </w:t>
      </w:r>
    </w:p>
    <w:p w:rsidR="00BC4FD4" w:rsidRDefault="00BC4FD4" w:rsidP="00BC4FD4">
      <w:r>
        <w:t xml:space="preserve">Oględziny techniczne stanowią pierwszy poziom utrzymania i </w:t>
      </w:r>
      <w:r w:rsidRPr="00BF480C">
        <w:rPr>
          <w:b/>
          <w:u w:val="single"/>
        </w:rPr>
        <w:t>to właściwy ECM powinien mieć możliwość ustalenia jakich kwalifikacji wymaga pracownik wykonujący te czynności</w:t>
      </w:r>
      <w:r w:rsidRPr="00BF480C">
        <w:rPr>
          <w:u w:val="single"/>
        </w:rPr>
        <w:t>.</w:t>
      </w:r>
      <w:r>
        <w:t xml:space="preserve"> Pamiętać należy, że ruch pociągów jest bardzo zróżnicowany oprócz pociągów kursujących w ruchu transgranicznym są też pociągi lokalne, miejscowe i to zarówno pasażerskie, jak i towarowe. W ruchu towarowym znane są sytuacje kursowania pociągów w zintegrowanym składzie</w:t>
      </w:r>
      <w:r w:rsidR="00BF480C">
        <w:t>,</w:t>
      </w:r>
      <w:r>
        <w:t xml:space="preserve"> które są uruchamiane nawet kilkakrotnie w dobie.</w:t>
      </w:r>
    </w:p>
    <w:p w:rsidR="00BC4FD4" w:rsidRPr="00BC4FD4" w:rsidRDefault="00BF480C" w:rsidP="00BC4FD4">
      <w:pPr>
        <w:rPr>
          <w:u w:val="single"/>
        </w:rPr>
      </w:pPr>
      <w:r>
        <w:rPr>
          <w:u w:val="single"/>
        </w:rPr>
        <w:t xml:space="preserve">Naszym zdaniem przepis ust. 3. </w:t>
      </w:r>
      <w:r w:rsidR="00BC4FD4" w:rsidRPr="00BC4FD4">
        <w:rPr>
          <w:u w:val="single"/>
        </w:rPr>
        <w:t>powinien mieć brzmienie:</w:t>
      </w:r>
    </w:p>
    <w:p w:rsidR="00BC4FD4" w:rsidRPr="0076430D" w:rsidRDefault="00BC4FD4" w:rsidP="00BC4FD4">
      <w:r w:rsidRPr="0076430D">
        <w:t xml:space="preserve">„3. Oględzin technicznych dokonują </w:t>
      </w:r>
      <w:r>
        <w:t>wyznaczeni przez przewoźnika uprawnieni pracownicy</w:t>
      </w:r>
      <w:r w:rsidRPr="0076430D">
        <w:t>, których przygotowanie zawodowe i egzaminowanie</w:t>
      </w:r>
      <w:r>
        <w:t>,</w:t>
      </w:r>
      <w:r w:rsidRPr="0076430D">
        <w:t xml:space="preserve"> zgodnie z odrębnymi przepisami wydanymi na podstawie ustawy o transporcie kolejowym</w:t>
      </w:r>
      <w:r>
        <w:t>,</w:t>
      </w:r>
      <w:r w:rsidRPr="0076430D">
        <w:t xml:space="preserve"> zawierało czynności oględzin t</w:t>
      </w:r>
      <w:r>
        <w:t>echnicznych pociągu, sprawdzenie</w:t>
      </w:r>
      <w:r w:rsidRPr="0076430D">
        <w:t xml:space="preserve"> stan</w:t>
      </w:r>
      <w:r w:rsidR="003C67ED">
        <w:t>u</w:t>
      </w:r>
      <w:r w:rsidRPr="0076430D">
        <w:t xml:space="preserve"> taboru kolejowego, prawidłowość zestawienia </w:t>
      </w:r>
      <w:r>
        <w:t>i </w:t>
      </w:r>
      <w:r w:rsidRPr="0076430D">
        <w:t xml:space="preserve">sprzęgnięcia, prawidłowość załadowania wagonów i umocowania ładunków; oględziny techniczne obejmują także wagony włączone do pociągów na stacjach pośrednich.” </w:t>
      </w:r>
    </w:p>
    <w:p w:rsidR="00BC4FD4" w:rsidRPr="00BC4FD4" w:rsidRDefault="00BC4FD4" w:rsidP="00BC4FD4">
      <w:pPr>
        <w:rPr>
          <w:u w:val="single"/>
        </w:rPr>
      </w:pPr>
      <w:r w:rsidRPr="00BC4FD4">
        <w:rPr>
          <w:u w:val="single"/>
        </w:rPr>
        <w:t xml:space="preserve">Uzasadnienie: </w:t>
      </w:r>
    </w:p>
    <w:p w:rsidR="00BC4FD4" w:rsidRPr="00BF480C" w:rsidRDefault="00BC4FD4" w:rsidP="00BC4FD4">
      <w:pPr>
        <w:rPr>
          <w:u w:val="single"/>
        </w:rPr>
      </w:pPr>
      <w:r w:rsidRPr="0076430D">
        <w:t>Maszynista</w:t>
      </w:r>
      <w:r>
        <w:t>,</w:t>
      </w:r>
      <w:r w:rsidRPr="0076430D">
        <w:t xml:space="preserve"> zgodnie z pkt. 6 lit. b załącznika nr 1 do Rozporządzenia Ministra I</w:t>
      </w:r>
      <w:r>
        <w:t>nfrastruktury i </w:t>
      </w:r>
      <w:r w:rsidRPr="0076430D">
        <w:t>Rozwoju z 10 lutego 2014 r. w sprawie świadectwa maszynisty, musi „</w:t>
      </w:r>
      <w:r w:rsidRPr="0076430D">
        <w:rPr>
          <w:b/>
          <w:u w:val="single"/>
        </w:rPr>
        <w:t>umieć dokonać oględzin technicznych pociągu, umieć rozpoznać oznaki nieprawidłowości</w:t>
      </w:r>
      <w:r w:rsidRPr="0076430D">
        <w:t>, zapobiegać ich powstawaniu i umieć reagować odpowiednio do ich znaczenia, mając na uwadze konieczność zapewnienia bezpieczeństwa ruchu kolejowego i bezpieczeństwa osób”</w:t>
      </w:r>
      <w:r w:rsidR="003C67ED">
        <w:t xml:space="preserve">. </w:t>
      </w:r>
      <w:r w:rsidRPr="0076430D">
        <w:t xml:space="preserve">Stanowiskowe </w:t>
      </w:r>
      <w:r w:rsidRPr="0076430D">
        <w:lastRenderedPageBreak/>
        <w:t xml:space="preserve">szkolenie praktyczne określone w załączniku 3 tego rozporządzenia zawiera także zakres: </w:t>
      </w:r>
      <w:r w:rsidRPr="00BF480C">
        <w:rPr>
          <w:u w:val="single"/>
        </w:rPr>
        <w:t>„</w:t>
      </w:r>
      <w:r w:rsidRPr="00BF480C">
        <w:rPr>
          <w:b/>
          <w:u w:val="single"/>
        </w:rPr>
        <w:t>Praca przy czynnościach rewidenta taboru</w:t>
      </w:r>
      <w:r w:rsidRPr="00BF480C">
        <w:rPr>
          <w:u w:val="single"/>
        </w:rPr>
        <w:t>”.</w:t>
      </w:r>
    </w:p>
    <w:p w:rsidR="00BC4FD4" w:rsidRPr="0076430D" w:rsidRDefault="00BC4FD4" w:rsidP="00BC4FD4">
      <w:r w:rsidRPr="0076430D">
        <w:t xml:space="preserve">Także dyrektywa 2007/59/WE Parlamentu Europejskiego i Rady z 23 października 2007 r. </w:t>
      </w:r>
      <w:r>
        <w:t>w </w:t>
      </w:r>
      <w:r w:rsidRPr="0076430D">
        <w:t>sprawie przyznawania uprawnień maszynistom pro</w:t>
      </w:r>
      <w:r>
        <w:t>wadzącym lokomotywy i pociągi w </w:t>
      </w:r>
      <w:r w:rsidRPr="0076430D">
        <w:t>obrębie systemu kolejowego W</w:t>
      </w:r>
      <w:r>
        <w:t xml:space="preserve">spólnoty w załączniku V pkt. 6 </w:t>
      </w:r>
      <w:r w:rsidRPr="0076430D">
        <w:t xml:space="preserve">NIEPRAWIDŁOWOŚCI tire drugi mówi: „Maszyniści muszą: (…) - </w:t>
      </w:r>
      <w:r w:rsidRPr="0076430D">
        <w:rPr>
          <w:b/>
          <w:u w:val="single"/>
        </w:rPr>
        <w:t>potrafić dokonać inspekcji pociągu i rozpoznawać oznaki nieprawidłowości</w:t>
      </w:r>
      <w:r w:rsidRPr="0076430D">
        <w:t xml:space="preserve">, rozróżniać je i reagować zgodnie </w:t>
      </w:r>
      <w:r>
        <w:t>z ich względnym znaczeniem oraz </w:t>
      </w:r>
      <w:r w:rsidRPr="0076430D">
        <w:t>próbować im zaradzać, zawsze traktując bezpieczeństwo ruchu kolejowego i osób w sposób priorytetow</w:t>
      </w:r>
      <w:r>
        <w:t>y</w:t>
      </w:r>
      <w:r w:rsidRPr="0076430D">
        <w:t>”</w:t>
      </w:r>
      <w:r>
        <w:t>.</w:t>
      </w:r>
    </w:p>
    <w:p w:rsidR="00BC4FD4" w:rsidRPr="0076430D" w:rsidRDefault="00BC4FD4" w:rsidP="00BC4FD4">
      <w:r w:rsidRPr="0076430D">
        <w:t xml:space="preserve">Zgodnie z powyższym maszynista jest szkolony i egzaminowany w zakresie wiedzy rewidenta taboru w odniesieniu do oględzin technicznych pociągu. Biorąc pod uwagę poszerzony zakres szkolenia o układy napędowe pojazdów, maszynista jest nawet bardziej wykwalifikowanym pracownikiem pod względem technicznym niż rewident taboru. </w:t>
      </w:r>
    </w:p>
    <w:p w:rsidR="00BC4FD4" w:rsidRPr="0076430D" w:rsidRDefault="00BC4FD4" w:rsidP="00BC4FD4">
      <w:r w:rsidRPr="0076430D">
        <w:rPr>
          <w:b/>
          <w:u w:val="single"/>
        </w:rPr>
        <w:t>Maszynista jest zatem w stanie dokonać oględzin technicznych pociągu przed jego jazdą, gdyż ma do tego wystarczające kwalifikacje.</w:t>
      </w:r>
      <w:r w:rsidRPr="0076430D">
        <w:t xml:space="preserve"> Zapewnia to właściwy poziom bezpieczeństwa. Ponadto dokonanie oględzin przez maszynistę dodatkowo zapewnia zwiększenie rzetelności oględzin, gdyż maszynista </w:t>
      </w:r>
      <w:r w:rsidR="003C67ED">
        <w:t>ma świadomość</w:t>
      </w:r>
      <w:r w:rsidRPr="0076430D">
        <w:t xml:space="preserve">, że sam będzie </w:t>
      </w:r>
      <w:r w:rsidR="003C67ED">
        <w:t>prowadził pociąg</w:t>
      </w:r>
      <w:r w:rsidRPr="0076430D">
        <w:t xml:space="preserve"> i od rzetelności wykonania oględzin zależy także jego życie i zdrowie. </w:t>
      </w:r>
    </w:p>
    <w:p w:rsidR="003C67ED" w:rsidRDefault="00BC4FD4" w:rsidP="00BC4FD4">
      <w:r w:rsidRPr="0076430D">
        <w:t>Zaproponowany przepis jest szczególnie nieuzasadniony w</w:t>
      </w:r>
      <w:r w:rsidR="003C67ED">
        <w:t xml:space="preserve"> przypadku pociągów złożonych z </w:t>
      </w:r>
      <w:r w:rsidRPr="0076430D">
        <w:rPr>
          <w:b/>
          <w:u w:val="single"/>
        </w:rPr>
        <w:t>pojazdów trakcyjnych takich jak autobusy szynowe, zespoły trakcyjne, lokomotywy jadące luzem, drezyny i pojazdy specjalne</w:t>
      </w:r>
      <w:r w:rsidRPr="0076430D">
        <w:t>. W tych przypadkach maszynista dokonuje podczas objęcia oględziny pojazdu z napędem</w:t>
      </w:r>
      <w:r w:rsidR="003C67ED">
        <w:t>,</w:t>
      </w:r>
      <w:r w:rsidRPr="0076430D">
        <w:t xml:space="preserve"> które siłą rzeczy faktycznie pokrywają się zakresem z oględzinami pociągu.</w:t>
      </w:r>
      <w:r w:rsidR="003C67ED">
        <w:t xml:space="preserve"> </w:t>
      </w:r>
    </w:p>
    <w:p w:rsidR="00BC4FD4" w:rsidRPr="0076430D" w:rsidRDefault="00BC4FD4" w:rsidP="00BC4FD4">
      <w:pPr>
        <w:rPr>
          <w:b/>
          <w:u w:val="single"/>
        </w:rPr>
      </w:pPr>
      <w:r w:rsidRPr="0076430D">
        <w:t>Ponadto w załączniku nr 1 Rozporządzenia Ministra Infrastruktury i Rozwoju z dnia 30 grudnia 2014 r. w sprawie pracowników zatrudnionych na stanowi</w:t>
      </w:r>
      <w:r w:rsidR="003C67ED">
        <w:t>skach bezpośrednio związanych z </w:t>
      </w:r>
      <w:r w:rsidRPr="0076430D">
        <w:t xml:space="preserve">prowadzeniem i bezpieczeństwem ruchu kolejowego oraz z prowadzeniem określonych rodzajów pojazdów kolejowych, w </w:t>
      </w:r>
      <w:r w:rsidR="00A50C97">
        <w:t>punktach dotyczących</w:t>
      </w:r>
      <w:r w:rsidRPr="0076430D">
        <w:t xml:space="preserve"> programu przygotowania zawodowego dla </w:t>
      </w:r>
      <w:r w:rsidR="00A50C97">
        <w:t>szeregu zawodów kolejowych (np. dyżurny, nastawniczy, kierownik</w:t>
      </w:r>
      <w:r w:rsidRPr="0076430D">
        <w:t xml:space="preserve"> pociągu </w:t>
      </w:r>
      <w:r w:rsidRPr="00273410">
        <w:t>pasażerskiego i towarowego</w:t>
      </w:r>
      <w:r w:rsidR="00A50C97" w:rsidRPr="00273410">
        <w:t>, itd.) wskazane jest bezpośrednio ujęcie w programie szkolenia zagadnień b</w:t>
      </w:r>
      <w:r w:rsidRPr="00273410">
        <w:t>udow</w:t>
      </w:r>
      <w:r w:rsidR="00A50C97" w:rsidRPr="00273410">
        <w:t>y taboru oraz oględzin technicznych</w:t>
      </w:r>
      <w:r w:rsidRPr="00273410">
        <w:t xml:space="preserve"> pociągu</w:t>
      </w:r>
      <w:r w:rsidR="00A50C97" w:rsidRPr="00273410">
        <w:t xml:space="preserve"> lub pojazdów</w:t>
      </w:r>
      <w:r w:rsidRPr="00273410">
        <w:t xml:space="preserve">”. Natomiast </w:t>
      </w:r>
      <w:r w:rsidR="00A50C97" w:rsidRPr="00273410">
        <w:t>wśród</w:t>
      </w:r>
      <w:r w:rsidRPr="00273410">
        <w:t xml:space="preserve"> zagadnień egzaminacyjnych </w:t>
      </w:r>
      <w:r w:rsidR="00273410" w:rsidRPr="00273410">
        <w:t>zapisano jest m.in</w:t>
      </w:r>
      <w:r w:rsidRPr="00273410">
        <w:t xml:space="preserve"> wykonani</w:t>
      </w:r>
      <w:r w:rsidR="00273410" w:rsidRPr="00273410">
        <w:t>e oględzin technicznych pociągu albo wagonów w składzie</w:t>
      </w:r>
      <w:r w:rsidRPr="00273410">
        <w:t>.</w:t>
      </w:r>
    </w:p>
    <w:p w:rsidR="00BC4FD4" w:rsidRPr="0076430D" w:rsidRDefault="00BC4FD4" w:rsidP="00BC4FD4">
      <w:r w:rsidRPr="0076430D">
        <w:t xml:space="preserve">Przewoźnicy nie wykorzystują </w:t>
      </w:r>
      <w:r w:rsidR="00273410">
        <w:t>zatem</w:t>
      </w:r>
      <w:r w:rsidRPr="0076430D">
        <w:t xml:space="preserve"> pracowników do wykonywania czynności n</w:t>
      </w:r>
      <w:r w:rsidR="00273410">
        <w:t>iezgodnych z ich kwalifikacjami, przeciwnie</w:t>
      </w:r>
      <w:r w:rsidRPr="0076430D">
        <w:t xml:space="preserve"> wykorzystują kwalifikacje </w:t>
      </w:r>
      <w:r w:rsidR="00273410" w:rsidRPr="0076430D">
        <w:t xml:space="preserve">nabyte </w:t>
      </w:r>
      <w:r w:rsidR="00273410">
        <w:t>przez pracowników w wyniku realizacji p</w:t>
      </w:r>
      <w:r w:rsidRPr="0076430D">
        <w:t xml:space="preserve">rogramów szkolenia i egzaminowania zawartych w </w:t>
      </w:r>
      <w:r w:rsidR="00273410">
        <w:t xml:space="preserve">obowiązujących </w:t>
      </w:r>
      <w:r w:rsidRPr="0076430D">
        <w:t>przepisach.</w:t>
      </w:r>
      <w:r w:rsidR="003C67ED">
        <w:t xml:space="preserve"> </w:t>
      </w:r>
      <w:r w:rsidR="00273410">
        <w:t>Wprowadzenie</w:t>
      </w:r>
      <w:r w:rsidRPr="0076430D">
        <w:t xml:space="preserve"> </w:t>
      </w:r>
      <w:r w:rsidR="00273410">
        <w:t xml:space="preserve">proponowanego </w:t>
      </w:r>
      <w:r w:rsidRPr="0076430D">
        <w:t>zapis</w:t>
      </w:r>
      <w:r w:rsidR="00273410">
        <w:t>u</w:t>
      </w:r>
      <w:r w:rsidRPr="0076430D">
        <w:t xml:space="preserve"> </w:t>
      </w:r>
      <w:r w:rsidR="00273410">
        <w:t xml:space="preserve">niejako </w:t>
      </w:r>
      <w:r w:rsidRPr="0076430D">
        <w:t>kwestionuje inne przepisy uprawnienia nadane obywatelom</w:t>
      </w:r>
      <w:r w:rsidR="00273410">
        <w:t xml:space="preserve"> na ich podstawie</w:t>
      </w:r>
      <w:r w:rsidRPr="0076430D">
        <w:t>.</w:t>
      </w:r>
    </w:p>
    <w:p w:rsidR="00BC4FD4" w:rsidRPr="00273410" w:rsidRDefault="00273410" w:rsidP="00BC4FD4">
      <w:r w:rsidRPr="00273410">
        <w:t>Zwracamy uwagę</w:t>
      </w:r>
      <w:r w:rsidR="00BC4FD4" w:rsidRPr="00273410">
        <w:t>, że odbieranie uprawnień</w:t>
      </w:r>
      <w:r w:rsidRPr="00273410">
        <w:t xml:space="preserve"> do wykonywania czynności nadanych</w:t>
      </w:r>
      <w:r w:rsidR="00BC4FD4" w:rsidRPr="00273410">
        <w:t xml:space="preserve"> innym aktem prawnym jest odbieraniem </w:t>
      </w:r>
      <w:r w:rsidRPr="00273410">
        <w:t xml:space="preserve">pracownikom </w:t>
      </w:r>
      <w:r w:rsidR="00BC4FD4" w:rsidRPr="00273410">
        <w:t xml:space="preserve">praw nabytych i administracyjnym obniżaniem </w:t>
      </w:r>
      <w:r w:rsidR="00BC4FD4" w:rsidRPr="00273410">
        <w:lastRenderedPageBreak/>
        <w:t>poziom</w:t>
      </w:r>
      <w:r w:rsidRPr="00273410">
        <w:t>u ich nabytych kwalifikacji. M</w:t>
      </w:r>
      <w:r w:rsidR="00BC4FD4" w:rsidRPr="00273410">
        <w:t xml:space="preserve">oże </w:t>
      </w:r>
      <w:r w:rsidRPr="00273410">
        <w:t xml:space="preserve">się to </w:t>
      </w:r>
      <w:r w:rsidR="00BC4FD4" w:rsidRPr="00273410">
        <w:t xml:space="preserve">wiązać </w:t>
      </w:r>
      <w:r w:rsidRPr="00273410">
        <w:t>z powstaniem podstawy prawnej i faktycznej do pozwów</w:t>
      </w:r>
      <w:r w:rsidR="00BC4FD4" w:rsidRPr="00273410">
        <w:t xml:space="preserve"> o odszkodowania od </w:t>
      </w:r>
      <w:r w:rsidR="003C67ED" w:rsidRPr="00273410">
        <w:t>Skarbu Państwa</w:t>
      </w:r>
      <w:r w:rsidR="00BC4FD4" w:rsidRPr="00273410">
        <w:t>.</w:t>
      </w:r>
    </w:p>
    <w:p w:rsidR="00310387" w:rsidRPr="00310387" w:rsidRDefault="00310387" w:rsidP="00FC6BE3">
      <w:pPr>
        <w:outlineLvl w:val="0"/>
      </w:pPr>
    </w:p>
    <w:p w:rsidR="002B4D2C" w:rsidRPr="002B4D2C" w:rsidRDefault="002B4D2C" w:rsidP="002B4D2C">
      <w:pPr>
        <w:jc w:val="right"/>
        <w:outlineLvl w:val="0"/>
      </w:pPr>
      <w:r>
        <w:t xml:space="preserve">Z </w:t>
      </w:r>
      <w:r w:rsidR="008A444C">
        <w:t>szacunkiem</w:t>
      </w:r>
      <w:r>
        <w:t xml:space="preserve"> </w:t>
      </w:r>
      <w:r>
        <w:tab/>
      </w:r>
      <w:r w:rsidR="00BF480C">
        <w:tab/>
      </w:r>
      <w:r w:rsidR="00BF480C">
        <w:tab/>
      </w:r>
    </w:p>
    <w:p w:rsidR="00757CB2" w:rsidRPr="00310387" w:rsidRDefault="00563B75">
      <w:pPr>
        <w:jc w:val="right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1999123" cy="1456514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421" cy="14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</w:p>
    <w:sectPr w:rsidR="00757CB2" w:rsidRPr="00310387" w:rsidSect="00011EC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97" w:rsidRDefault="004D2B97">
      <w:r>
        <w:separator/>
      </w:r>
    </w:p>
  </w:endnote>
  <w:endnote w:type="continuationSeparator" w:id="0">
    <w:p w:rsidR="004D2B97" w:rsidRDefault="004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4" w:rsidRDefault="00BC53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2912745</wp:posOffset>
              </wp:positionH>
              <wp:positionV relativeFrom="paragraph">
                <wp:posOffset>-198755</wp:posOffset>
              </wp:positionV>
              <wp:extent cx="720090" cy="360045"/>
              <wp:effectExtent l="0" t="0" r="381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6B4" w:rsidRDefault="005A10E8" w:rsidP="000115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A685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35pt;margin-top:-15.6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ugQIAAA4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" stroked="f">
              <v:textbox>
                <w:txbxContent>
                  <w:p w:rsidR="002776B4" w:rsidRDefault="005A10E8" w:rsidP="0001157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A685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B4" w:rsidRDefault="00BC5344">
    <w:pPr>
      <w:pStyle w:val="Stopka"/>
    </w:pPr>
    <w:r w:rsidRPr="00310AF5">
      <w:rPr>
        <w:noProof/>
      </w:rPr>
      <w:drawing>
        <wp:inline distT="0" distB="0" distL="0" distR="0">
          <wp:extent cx="4477385" cy="733425"/>
          <wp:effectExtent l="0" t="0" r="0" b="0"/>
          <wp:docPr id="1" name="Obraz 0" descr="IGTL-footer-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GTL-footer-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97" w:rsidRDefault="004D2B97">
      <w:r>
        <w:separator/>
      </w:r>
    </w:p>
  </w:footnote>
  <w:footnote w:type="continuationSeparator" w:id="0">
    <w:p w:rsidR="004D2B97" w:rsidRDefault="004D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8" w:rsidRDefault="009849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single" w:sz="18" w:space="0" w:color="2E74B5" w:themeColor="accent1" w:themeShade="BF"/>
        <w:insideH w:val="none" w:sz="0" w:space="0" w:color="auto"/>
        <w:insideV w:val="single" w:sz="18" w:space="0" w:color="2E74B5" w:themeColor="accent1" w:themeShade="BF"/>
      </w:tblBorders>
      <w:tblLook w:val="04A0" w:firstRow="1" w:lastRow="0" w:firstColumn="1" w:lastColumn="0" w:noHBand="0" w:noVBand="1"/>
    </w:tblPr>
    <w:tblGrid>
      <w:gridCol w:w="1843"/>
      <w:gridCol w:w="2410"/>
      <w:gridCol w:w="2551"/>
    </w:tblGrid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Prezes Izby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Wiceprezesi Izby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Członkowie Zarządu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Marita Szustak 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Przemysław Korwiel 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Andrzej Kwiek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Piotr Macioszek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Ryszard Leszczyński 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Wiesław Nowak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FC1A24" w:rsidP="00016C7C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Henryk Pi</w:t>
          </w:r>
          <w:r w:rsidR="00016C7C">
            <w:rPr>
              <w:rFonts w:ascii="Arial" w:hAnsi="Arial" w:cs="Arial"/>
              <w:i/>
              <w:color w:val="2E74B5" w:themeColor="accent1" w:themeShade="BF"/>
              <w:sz w:val="18"/>
            </w:rPr>
            <w:t>ń</w:t>
          </w:r>
          <w:r w:rsidR="00094D47"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kowski</w:t>
          </w:r>
        </w:p>
      </w:tc>
    </w:tr>
  </w:tbl>
  <w:p w:rsidR="002776B4" w:rsidRDefault="00094D47" w:rsidP="00094D47">
    <w:pPr>
      <w:spacing w:before="0" w:line="240" w:lineRule="auto"/>
    </w:pPr>
    <w:r w:rsidRPr="006C0E77">
      <w:rPr>
        <w:rFonts w:ascii="Arial" w:hAnsi="Arial" w:cs="Arial"/>
        <w:noProof/>
        <w:color w:val="2E74B5" w:themeColor="accent1" w:themeShade="BF"/>
        <w:sz w:val="22"/>
      </w:rPr>
      <w:drawing>
        <wp:anchor distT="0" distB="0" distL="114300" distR="114300" simplePos="0" relativeHeight="251658240" behindDoc="0" locked="0" layoutInCell="1" allowOverlap="1" wp14:anchorId="7DB21052" wp14:editId="33291785">
          <wp:simplePos x="0" y="0"/>
          <wp:positionH relativeFrom="margin">
            <wp:posOffset>4479925</wp:posOffset>
          </wp:positionH>
          <wp:positionV relativeFrom="paragraph">
            <wp:posOffset>-998220</wp:posOffset>
          </wp:positionV>
          <wp:extent cx="1280795" cy="1124585"/>
          <wp:effectExtent l="0" t="0" r="0" b="0"/>
          <wp:wrapThrough wrapText="bothSides">
            <wp:wrapPolygon edited="0">
              <wp:start x="0" y="0"/>
              <wp:lineTo x="0" y="21222"/>
              <wp:lineTo x="21204" y="21222"/>
              <wp:lineTo x="21204" y="0"/>
              <wp:lineTo x="0" y="0"/>
            </wp:wrapPolygon>
          </wp:wrapThrough>
          <wp:docPr id="2" name="Obraz 24" descr="C:\Users\SharkIT\AppData\Local\Microsoft\Windows\INetCache\Content.Word\IGT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SharkIT\AppData\Local\Microsoft\Windows\INetCache\Content.Word\IGT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E77">
      <w:rPr>
        <w:rFonts w:ascii="Arial" w:hAnsi="Arial" w:cs="Arial"/>
        <w:noProof/>
        <w:color w:val="2E74B5" w:themeColor="accent1" w:themeShade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32"/>
    <w:multiLevelType w:val="hybridMultilevel"/>
    <w:tmpl w:val="6CF8BEA8"/>
    <w:lvl w:ilvl="0" w:tplc="B5B6B2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7F90"/>
    <w:multiLevelType w:val="hybridMultilevel"/>
    <w:tmpl w:val="05C6D5F2"/>
    <w:lvl w:ilvl="0" w:tplc="2D78AB34">
      <w:start w:val="1"/>
      <w:numFmt w:val="decimal"/>
      <w:lvlText w:val="%1)"/>
      <w:lvlJc w:val="left"/>
      <w:pPr>
        <w:ind w:left="190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794D91"/>
    <w:multiLevelType w:val="hybridMultilevel"/>
    <w:tmpl w:val="16FC3B00"/>
    <w:lvl w:ilvl="0" w:tplc="DC1CD64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B4B64"/>
    <w:multiLevelType w:val="hybridMultilevel"/>
    <w:tmpl w:val="443C1FD8"/>
    <w:lvl w:ilvl="0" w:tplc="911A2148">
      <w:start w:val="1"/>
      <w:numFmt w:val="decimal"/>
      <w:lvlText w:val="%1."/>
      <w:lvlJc w:val="left"/>
      <w:pPr>
        <w:ind w:left="1429" w:hanging="360"/>
      </w:pPr>
      <w:rPr>
        <w:b/>
        <w:i w:val="0"/>
        <w:sz w:val="22"/>
        <w:szCs w:val="22"/>
      </w:rPr>
    </w:lvl>
    <w:lvl w:ilvl="1" w:tplc="2444CA34">
      <w:start w:val="1"/>
      <w:numFmt w:val="decimal"/>
      <w:lvlText w:val="%2."/>
      <w:lvlJc w:val="left"/>
      <w:pPr>
        <w:ind w:left="2149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8790FEB2">
      <w:start w:val="1"/>
      <w:numFmt w:val="lowerLetter"/>
      <w:lvlText w:val="%3)"/>
      <w:lvlJc w:val="left"/>
      <w:pPr>
        <w:ind w:left="2869" w:hanging="18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E6F4A"/>
    <w:multiLevelType w:val="hybridMultilevel"/>
    <w:tmpl w:val="83D4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606E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127"/>
    <w:multiLevelType w:val="hybridMultilevel"/>
    <w:tmpl w:val="7AAA3C40"/>
    <w:lvl w:ilvl="0" w:tplc="535AF3A4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6E87BFA"/>
    <w:multiLevelType w:val="hybridMultilevel"/>
    <w:tmpl w:val="FE0E1BFA"/>
    <w:lvl w:ilvl="0" w:tplc="9BC69A1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542DB2"/>
    <w:multiLevelType w:val="hybridMultilevel"/>
    <w:tmpl w:val="EECCB51C"/>
    <w:lvl w:ilvl="0" w:tplc="0858521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5386E"/>
    <w:multiLevelType w:val="hybridMultilevel"/>
    <w:tmpl w:val="E35A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8F16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4034"/>
    <w:multiLevelType w:val="hybridMultilevel"/>
    <w:tmpl w:val="EE32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499E"/>
    <w:multiLevelType w:val="hybridMultilevel"/>
    <w:tmpl w:val="B77CC13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4"/>
    <w:rsid w:val="00011573"/>
    <w:rsid w:val="00011EC2"/>
    <w:rsid w:val="00012533"/>
    <w:rsid w:val="00016C7C"/>
    <w:rsid w:val="000650EA"/>
    <w:rsid w:val="00075659"/>
    <w:rsid w:val="00094D47"/>
    <w:rsid w:val="000D0D7C"/>
    <w:rsid w:val="0011651B"/>
    <w:rsid w:val="0013326E"/>
    <w:rsid w:val="00140292"/>
    <w:rsid w:val="00141C45"/>
    <w:rsid w:val="00155C17"/>
    <w:rsid w:val="00181DD1"/>
    <w:rsid w:val="001872DB"/>
    <w:rsid w:val="001D62BF"/>
    <w:rsid w:val="001E6D6A"/>
    <w:rsid w:val="00273410"/>
    <w:rsid w:val="002776B4"/>
    <w:rsid w:val="00296F98"/>
    <w:rsid w:val="002A79A9"/>
    <w:rsid w:val="002B4D2C"/>
    <w:rsid w:val="00310387"/>
    <w:rsid w:val="003A685F"/>
    <w:rsid w:val="003C67ED"/>
    <w:rsid w:val="003E3D66"/>
    <w:rsid w:val="003E4F2F"/>
    <w:rsid w:val="003F5CAC"/>
    <w:rsid w:val="0041037D"/>
    <w:rsid w:val="00412F03"/>
    <w:rsid w:val="00422160"/>
    <w:rsid w:val="00451D10"/>
    <w:rsid w:val="00453665"/>
    <w:rsid w:val="00460321"/>
    <w:rsid w:val="00485F22"/>
    <w:rsid w:val="004D2B97"/>
    <w:rsid w:val="00537306"/>
    <w:rsid w:val="00541165"/>
    <w:rsid w:val="00550CD9"/>
    <w:rsid w:val="005605F5"/>
    <w:rsid w:val="00563B75"/>
    <w:rsid w:val="00564431"/>
    <w:rsid w:val="00567FF4"/>
    <w:rsid w:val="00575F69"/>
    <w:rsid w:val="005822C9"/>
    <w:rsid w:val="00585C1F"/>
    <w:rsid w:val="005A10E8"/>
    <w:rsid w:val="00604930"/>
    <w:rsid w:val="0063457F"/>
    <w:rsid w:val="00642E69"/>
    <w:rsid w:val="00651355"/>
    <w:rsid w:val="006A1735"/>
    <w:rsid w:val="006C0E77"/>
    <w:rsid w:val="006F2969"/>
    <w:rsid w:val="00717C8E"/>
    <w:rsid w:val="00757CB2"/>
    <w:rsid w:val="0076282B"/>
    <w:rsid w:val="00766625"/>
    <w:rsid w:val="007738A5"/>
    <w:rsid w:val="007742D4"/>
    <w:rsid w:val="007758B2"/>
    <w:rsid w:val="0077628C"/>
    <w:rsid w:val="007A5D2D"/>
    <w:rsid w:val="007D5414"/>
    <w:rsid w:val="007D7371"/>
    <w:rsid w:val="007E565B"/>
    <w:rsid w:val="0085784A"/>
    <w:rsid w:val="00886338"/>
    <w:rsid w:val="008926E9"/>
    <w:rsid w:val="008A444C"/>
    <w:rsid w:val="008E644D"/>
    <w:rsid w:val="00963618"/>
    <w:rsid w:val="009706F1"/>
    <w:rsid w:val="00981967"/>
    <w:rsid w:val="009849C8"/>
    <w:rsid w:val="009E4174"/>
    <w:rsid w:val="009F376C"/>
    <w:rsid w:val="00A17C60"/>
    <w:rsid w:val="00A20FEF"/>
    <w:rsid w:val="00A50A97"/>
    <w:rsid w:val="00A50C97"/>
    <w:rsid w:val="00A54120"/>
    <w:rsid w:val="00A85E16"/>
    <w:rsid w:val="00A87DE1"/>
    <w:rsid w:val="00A9387D"/>
    <w:rsid w:val="00AA76D0"/>
    <w:rsid w:val="00AB122C"/>
    <w:rsid w:val="00AB5DD7"/>
    <w:rsid w:val="00AF1725"/>
    <w:rsid w:val="00B10BD2"/>
    <w:rsid w:val="00B26B26"/>
    <w:rsid w:val="00B43EE8"/>
    <w:rsid w:val="00B53BB1"/>
    <w:rsid w:val="00B71315"/>
    <w:rsid w:val="00B7364E"/>
    <w:rsid w:val="00BC4FD4"/>
    <w:rsid w:val="00BC5344"/>
    <w:rsid w:val="00BC623E"/>
    <w:rsid w:val="00BF25A6"/>
    <w:rsid w:val="00BF480C"/>
    <w:rsid w:val="00C058FC"/>
    <w:rsid w:val="00C133B0"/>
    <w:rsid w:val="00C87AD1"/>
    <w:rsid w:val="00CA40A4"/>
    <w:rsid w:val="00CC12E2"/>
    <w:rsid w:val="00D11C6D"/>
    <w:rsid w:val="00D14CE5"/>
    <w:rsid w:val="00D2304D"/>
    <w:rsid w:val="00D23CFF"/>
    <w:rsid w:val="00D44DEA"/>
    <w:rsid w:val="00DA7C06"/>
    <w:rsid w:val="00DD1DDB"/>
    <w:rsid w:val="00E4523D"/>
    <w:rsid w:val="00E539D9"/>
    <w:rsid w:val="00E56368"/>
    <w:rsid w:val="00E63566"/>
    <w:rsid w:val="00E7510C"/>
    <w:rsid w:val="00EA104F"/>
    <w:rsid w:val="00EA50DE"/>
    <w:rsid w:val="00ED2332"/>
    <w:rsid w:val="00F01A67"/>
    <w:rsid w:val="00F20D8F"/>
    <w:rsid w:val="00F34B5B"/>
    <w:rsid w:val="00F71971"/>
    <w:rsid w:val="00F74C01"/>
    <w:rsid w:val="00F76F10"/>
    <w:rsid w:val="00F86754"/>
    <w:rsid w:val="00F91597"/>
    <w:rsid w:val="00F96CA1"/>
    <w:rsid w:val="00FA59B5"/>
    <w:rsid w:val="00FC1A24"/>
    <w:rsid w:val="00FC6BE3"/>
    <w:rsid w:val="00FE401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52727-843F-4E2D-B7C9-EC96C15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59"/>
    <w:pPr>
      <w:spacing w:before="120" w:line="288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7DE1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2E69"/>
    <w:pPr>
      <w:tabs>
        <w:tab w:val="center" w:pos="4536"/>
        <w:tab w:val="right" w:pos="9072"/>
      </w:tabs>
      <w:jc w:val="center"/>
    </w:pPr>
  </w:style>
  <w:style w:type="paragraph" w:styleId="Stopka">
    <w:name w:val="footer"/>
    <w:basedOn w:val="Normalny"/>
    <w:rsid w:val="00642E69"/>
    <w:pPr>
      <w:tabs>
        <w:tab w:val="center" w:pos="4536"/>
        <w:tab w:val="right" w:pos="9072"/>
      </w:tabs>
      <w:jc w:val="center"/>
    </w:pPr>
  </w:style>
  <w:style w:type="table" w:styleId="Tabela-Siatka">
    <w:name w:val="Table Grid"/>
    <w:basedOn w:val="Standardowy"/>
    <w:rsid w:val="007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AF17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AF172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AF1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1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5F5"/>
    <w:pPr>
      <w:ind w:left="720"/>
      <w:contextualSpacing/>
    </w:pPr>
  </w:style>
  <w:style w:type="character" w:styleId="Pogrubienie">
    <w:name w:val="Strong"/>
    <w:uiPriority w:val="22"/>
    <w:qFormat/>
    <w:rsid w:val="00C133B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71971"/>
    <w:pPr>
      <w:spacing w:after="120"/>
    </w:pPr>
    <w:rPr>
      <w:rFonts w:ascii="DB Office" w:hAnsi="DB Office"/>
      <w:color w:val="000000"/>
      <w:sz w:val="22"/>
      <w:szCs w:val="20"/>
      <w:lang w:val="de-DE" w:eastAsia="de-DE"/>
    </w:rPr>
  </w:style>
  <w:style w:type="character" w:customStyle="1" w:styleId="TekstpodstawowyZnak">
    <w:name w:val="Tekst podstawowy Znak"/>
    <w:link w:val="Tekstpodstawowy"/>
    <w:rsid w:val="00F71971"/>
    <w:rPr>
      <w:rFonts w:ascii="DB Office" w:hAnsi="DB Office"/>
      <w:color w:val="000000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rsid w:val="00A87DE1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0B6B-4D9F-4BD8-99EC-424C9D1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cp:lastModifiedBy>dyrektorIGTL</cp:lastModifiedBy>
  <cp:revision>5</cp:revision>
  <cp:lastPrinted>2018-07-27T14:39:00Z</cp:lastPrinted>
  <dcterms:created xsi:type="dcterms:W3CDTF">2018-07-27T07:38:00Z</dcterms:created>
  <dcterms:modified xsi:type="dcterms:W3CDTF">2018-07-30T06:32:00Z</dcterms:modified>
</cp:coreProperties>
</file>