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E0EC" w14:textId="77777777" w:rsidR="00F66827" w:rsidRDefault="00F66827" w:rsidP="00726139">
      <w:pPr>
        <w:rPr>
          <w:rFonts w:cstheme="minorBidi"/>
          <w:szCs w:val="22"/>
        </w:rPr>
      </w:pPr>
    </w:p>
    <w:p w14:paraId="7959DB63" w14:textId="030568B9" w:rsidR="00F66827" w:rsidRDefault="00F66827" w:rsidP="00726139">
      <w:pPr>
        <w:rPr>
          <w:rFonts w:cstheme="minorBidi"/>
          <w:szCs w:val="22"/>
        </w:rPr>
      </w:pPr>
      <w:r>
        <w:rPr>
          <w:rFonts w:cstheme="minorBidi"/>
          <w:szCs w:val="22"/>
        </w:rPr>
        <w:t xml:space="preserve">Załącznik do pisma </w:t>
      </w:r>
      <w:r w:rsidRPr="00F66827">
        <w:rPr>
          <w:rFonts w:cstheme="minorBidi"/>
          <w:szCs w:val="22"/>
        </w:rPr>
        <w:t>IGTL/2/</w:t>
      </w:r>
      <w:r w:rsidR="00AB4B7E">
        <w:rPr>
          <w:rFonts w:cstheme="minorBidi"/>
          <w:szCs w:val="22"/>
        </w:rPr>
        <w:t>11</w:t>
      </w:r>
      <w:r w:rsidRPr="00F66827">
        <w:rPr>
          <w:rFonts w:cstheme="minorBidi"/>
          <w:szCs w:val="22"/>
        </w:rPr>
        <w:t>29/MG/2020</w:t>
      </w:r>
      <w:r>
        <w:rPr>
          <w:rFonts w:cstheme="minorBidi"/>
          <w:szCs w:val="22"/>
        </w:rPr>
        <w:t xml:space="preserve"> </w:t>
      </w:r>
    </w:p>
    <w:p w14:paraId="1724CBE8" w14:textId="77777777" w:rsidR="00F66827" w:rsidRDefault="00F66827" w:rsidP="00726139">
      <w:pPr>
        <w:rPr>
          <w:rFonts w:cstheme="minorBidi"/>
          <w:szCs w:val="22"/>
        </w:rPr>
      </w:pPr>
    </w:p>
    <w:p w14:paraId="1B079B34" w14:textId="46C7FF3B" w:rsidR="00726139" w:rsidRPr="00726139" w:rsidRDefault="00726139" w:rsidP="00726139">
      <w:pPr>
        <w:rPr>
          <w:rFonts w:cstheme="minorBidi"/>
          <w:szCs w:val="22"/>
        </w:rPr>
      </w:pPr>
      <w:r w:rsidRPr="00726139">
        <w:rPr>
          <w:rFonts w:cstheme="minorBidi"/>
          <w:szCs w:val="22"/>
        </w:rPr>
        <w:t>Uwagi szczegółowe</w:t>
      </w:r>
      <w:r w:rsidR="00AB4B7E">
        <w:rPr>
          <w:rFonts w:cstheme="minorBidi"/>
          <w:szCs w:val="22"/>
        </w:rPr>
        <w:t xml:space="preserve"> do projektu Ustawy o czasie pracy maszynistów</w:t>
      </w:r>
      <w:r w:rsidRPr="00726139">
        <w:rPr>
          <w:rFonts w:cstheme="minorBidi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9178"/>
      </w:tblGrid>
      <w:tr w:rsidR="00726139" w:rsidRPr="00AB4B7E" w14:paraId="283FC939" w14:textId="77777777" w:rsidTr="003445D4">
        <w:tc>
          <w:tcPr>
            <w:tcW w:w="1555" w:type="dxa"/>
          </w:tcPr>
          <w:p w14:paraId="0DD9DD2E" w14:textId="77777777" w:rsidR="00726139" w:rsidRPr="00AB4B7E" w:rsidRDefault="00726139" w:rsidP="00726139">
            <w:pPr>
              <w:spacing w:after="0" w:line="240" w:lineRule="auto"/>
              <w:rPr>
                <w:rFonts w:cstheme="minorBidi"/>
                <w:b/>
                <w:bCs/>
                <w:szCs w:val="22"/>
              </w:rPr>
            </w:pPr>
            <w:r w:rsidRPr="00AB4B7E">
              <w:rPr>
                <w:rFonts w:cstheme="minorBidi"/>
                <w:b/>
                <w:bCs/>
                <w:szCs w:val="22"/>
              </w:rPr>
              <w:t xml:space="preserve">Jednostka redakcyjna </w:t>
            </w:r>
          </w:p>
        </w:tc>
        <w:tc>
          <w:tcPr>
            <w:tcW w:w="4961" w:type="dxa"/>
          </w:tcPr>
          <w:p w14:paraId="7A06E588" w14:textId="77777777" w:rsidR="00726139" w:rsidRPr="00AB4B7E" w:rsidRDefault="00726139" w:rsidP="00726139">
            <w:pPr>
              <w:spacing w:after="0" w:line="240" w:lineRule="auto"/>
              <w:rPr>
                <w:rFonts w:cstheme="minorBidi"/>
                <w:b/>
                <w:bCs/>
                <w:szCs w:val="22"/>
              </w:rPr>
            </w:pPr>
            <w:r w:rsidRPr="00AB4B7E">
              <w:rPr>
                <w:rFonts w:cstheme="minorBidi"/>
                <w:b/>
                <w:bCs/>
                <w:szCs w:val="22"/>
              </w:rPr>
              <w:t xml:space="preserve">Treść </w:t>
            </w:r>
          </w:p>
        </w:tc>
        <w:tc>
          <w:tcPr>
            <w:tcW w:w="9178" w:type="dxa"/>
          </w:tcPr>
          <w:p w14:paraId="75A0789B" w14:textId="77777777" w:rsidR="00726139" w:rsidRPr="00AB4B7E" w:rsidRDefault="00726139" w:rsidP="00726139">
            <w:pPr>
              <w:spacing w:after="0" w:line="240" w:lineRule="auto"/>
              <w:rPr>
                <w:rFonts w:cstheme="minorBidi"/>
                <w:b/>
                <w:bCs/>
                <w:szCs w:val="22"/>
              </w:rPr>
            </w:pPr>
            <w:r w:rsidRPr="00AB4B7E">
              <w:rPr>
                <w:rFonts w:cstheme="minorBidi"/>
                <w:b/>
                <w:bCs/>
                <w:szCs w:val="22"/>
              </w:rPr>
              <w:t xml:space="preserve">Uwagi/propozycje </w:t>
            </w:r>
          </w:p>
        </w:tc>
      </w:tr>
      <w:tr w:rsidR="00726139" w:rsidRPr="00726139" w14:paraId="351FDCD8" w14:textId="77777777" w:rsidTr="003445D4">
        <w:tc>
          <w:tcPr>
            <w:tcW w:w="1555" w:type="dxa"/>
          </w:tcPr>
          <w:p w14:paraId="32174D60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 1. 1.</w:t>
            </w:r>
          </w:p>
        </w:tc>
        <w:tc>
          <w:tcPr>
            <w:tcW w:w="4961" w:type="dxa"/>
          </w:tcPr>
          <w:p w14:paraId="4300222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Ustawa określa:</w:t>
            </w:r>
          </w:p>
          <w:p w14:paraId="772B40E7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1) </w:t>
            </w:r>
            <w:r w:rsidRPr="00726139">
              <w:rPr>
                <w:rFonts w:cstheme="minorBidi"/>
                <w:szCs w:val="22"/>
              </w:rPr>
              <w:tab/>
              <w:t>czas pracy maszynistów zatrudnionych:</w:t>
            </w:r>
          </w:p>
          <w:p w14:paraId="5165DF1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a)</w:t>
            </w:r>
            <w:r w:rsidRPr="00726139">
              <w:rPr>
                <w:rFonts w:cstheme="minorBidi"/>
                <w:szCs w:val="22"/>
              </w:rPr>
              <w:tab/>
              <w:t>na podstawie stosunku pracy,</w:t>
            </w:r>
          </w:p>
          <w:p w14:paraId="4C2C7B40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b)</w:t>
            </w:r>
            <w:r w:rsidRPr="00726139">
              <w:rPr>
                <w:rFonts w:cstheme="minorBidi"/>
                <w:szCs w:val="22"/>
              </w:rPr>
              <w:tab/>
              <w:t>na innej podstawie niż stosunek pracy;</w:t>
            </w:r>
          </w:p>
        </w:tc>
        <w:tc>
          <w:tcPr>
            <w:tcW w:w="9178" w:type="dxa"/>
          </w:tcPr>
          <w:p w14:paraId="618136C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Nie ma uzasadnienia do różnicowania przepisów w zależności od formy zatrudnienia, ponieważ może to doprowadzić do nadmiernego wykorzystywania umów cywilnoprawnych i samozatrudnienia, co może być niekorzystne z punktu widzenia zarówno pracowników, jak i pracodawców. </w:t>
            </w:r>
          </w:p>
        </w:tc>
      </w:tr>
      <w:tr w:rsidR="00726139" w:rsidRPr="00726139" w14:paraId="4904494B" w14:textId="77777777" w:rsidTr="003445D4">
        <w:tc>
          <w:tcPr>
            <w:tcW w:w="1555" w:type="dxa"/>
          </w:tcPr>
          <w:p w14:paraId="22680EC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 2.</w:t>
            </w:r>
          </w:p>
        </w:tc>
        <w:tc>
          <w:tcPr>
            <w:tcW w:w="4961" w:type="dxa"/>
          </w:tcPr>
          <w:p w14:paraId="0D0CC17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Przepisów ustawy nie stosuje się…</w:t>
            </w:r>
          </w:p>
        </w:tc>
        <w:tc>
          <w:tcPr>
            <w:tcW w:w="9178" w:type="dxa"/>
          </w:tcPr>
          <w:p w14:paraId="3D67AB4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Brak wyłączenia dla pracowników firm realizujących roboty budowlane i utrzymaniowe, w przypadku których prowadzenie pojazdu kolejowego stanowi tylko niewielką część zmiany roboczej. Przykładowo pracownik może być operatorem maszyny i w ramach dnia pracy jego głównym zajęciem jest obsługa urządzeń, a prowadzenie pojazdu zajmuje np. kilkadziesiąt minut. Ustawa zwalnia z obowiązku wyznaczenia stacji macierzystej, ale nie stanowi to rozwiązania problemu określania czasu pracy jako maszynisty. </w:t>
            </w:r>
          </w:p>
          <w:p w14:paraId="4D22BEF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Wyłączenie dla maszynistów </w:t>
            </w:r>
            <w:proofErr w:type="spellStart"/>
            <w:r w:rsidRPr="00726139">
              <w:rPr>
                <w:rFonts w:cstheme="minorBidi"/>
                <w:szCs w:val="22"/>
              </w:rPr>
              <w:t>interoperacyjnych</w:t>
            </w:r>
            <w:proofErr w:type="spellEnd"/>
            <w:r w:rsidRPr="00726139">
              <w:rPr>
                <w:rFonts w:cstheme="minorBidi"/>
                <w:szCs w:val="22"/>
              </w:rPr>
              <w:t xml:space="preserve"> jest rozbieżne z uzasadnieniem.</w:t>
            </w:r>
          </w:p>
        </w:tc>
      </w:tr>
      <w:tr w:rsidR="00726139" w:rsidRPr="00726139" w14:paraId="5CA3F916" w14:textId="77777777" w:rsidTr="003445D4">
        <w:tc>
          <w:tcPr>
            <w:tcW w:w="1555" w:type="dxa"/>
          </w:tcPr>
          <w:p w14:paraId="447C93F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 3</w:t>
            </w:r>
          </w:p>
        </w:tc>
        <w:tc>
          <w:tcPr>
            <w:tcW w:w="4961" w:type="dxa"/>
          </w:tcPr>
          <w:p w14:paraId="7A4657A1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1)</w:t>
            </w:r>
            <w:r w:rsidRPr="00726139">
              <w:rPr>
                <w:rFonts w:cstheme="minorBidi"/>
                <w:szCs w:val="22"/>
              </w:rPr>
              <w:tab/>
              <w:t>pracodawca - zarządca infrastruktury, przewoźnik kolejowy, użytkownik bocznicy kolejowej, przedsiębiorca wykonujący przewozy w obrębie bocznicy kolejowej, a także każdy inny podmiot, który zatrudnia maszynistę na podstawie stosunku pracy;</w:t>
            </w:r>
          </w:p>
          <w:p w14:paraId="779CABF4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2)</w:t>
            </w:r>
            <w:r w:rsidRPr="00726139">
              <w:rPr>
                <w:rFonts w:cstheme="minorBidi"/>
                <w:szCs w:val="22"/>
              </w:rPr>
              <w:tab/>
              <w:t>podmiot zatrudniający - zarządca infrastruktury, przewoźnik kolejowy, użytkownik bocznicy kolejowej, przedsiębiorca wykonujący przewozy w obrębie bocznicy kolejowej, a także każdy inny podmiot, który zatrudnia maszynistę na innej podstawie niż stosunek pracy;</w:t>
            </w:r>
          </w:p>
        </w:tc>
        <w:tc>
          <w:tcPr>
            <w:tcW w:w="9178" w:type="dxa"/>
          </w:tcPr>
          <w:p w14:paraId="507DA235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Definicja jest nadmiernie rozbudowana – de facto wskazuje każdego przedsiębiorcę lub każdy podmiot, który zatrudnia maszynistę.</w:t>
            </w:r>
          </w:p>
          <w:p w14:paraId="7EC49AC0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Proponujemy:</w:t>
            </w:r>
          </w:p>
          <w:p w14:paraId="5771AD3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Pracodawca – podmiot zatrudniający maszynistę na podstawie umowy o pracę</w:t>
            </w:r>
          </w:p>
          <w:p w14:paraId="3F0FCFCE" w14:textId="23F4B83C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Podmiot zatrudniający – podmiot zatrudniający maszynistę na innej podstawie niż umowa o pracę</w:t>
            </w:r>
          </w:p>
        </w:tc>
      </w:tr>
      <w:tr w:rsidR="00726139" w:rsidRPr="00726139" w14:paraId="4ADE87E3" w14:textId="77777777" w:rsidTr="003445D4">
        <w:tc>
          <w:tcPr>
            <w:tcW w:w="1555" w:type="dxa"/>
          </w:tcPr>
          <w:p w14:paraId="1997A65F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Art. 3 </w:t>
            </w:r>
          </w:p>
        </w:tc>
        <w:tc>
          <w:tcPr>
            <w:tcW w:w="4961" w:type="dxa"/>
          </w:tcPr>
          <w:p w14:paraId="69D65B2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Brak zapisu </w:t>
            </w:r>
          </w:p>
        </w:tc>
        <w:tc>
          <w:tcPr>
            <w:tcW w:w="9178" w:type="dxa"/>
          </w:tcPr>
          <w:p w14:paraId="5F731246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W zależności od przyjętych rozwiązań w zamian za nieakceptowalną w obecnej formie koncepcję stacji macierzystej, ustawa powinna definiować dodatkowo takie pojęcia jak (w tym alternatywy): </w:t>
            </w:r>
          </w:p>
          <w:p w14:paraId="5C90E8FC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czas prowadzenia pociągu/pojazdu kolejowego z napędem</w:t>
            </w:r>
          </w:p>
          <w:p w14:paraId="3E46F86B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czas pozostawania w gotowości/dyspozycji/dyżuru</w:t>
            </w:r>
          </w:p>
          <w:p w14:paraId="43B4F7C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przerwa w prowadzeniu pociągu/pojazdu (…)</w:t>
            </w:r>
          </w:p>
          <w:p w14:paraId="1092CED6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miejsce wypoczynku</w:t>
            </w:r>
          </w:p>
          <w:p w14:paraId="6B15A209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>miejsce noclegu</w:t>
            </w:r>
          </w:p>
          <w:p w14:paraId="37F6193F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miejsce rozpoczęcia/zakończenia pracy</w:t>
            </w:r>
          </w:p>
          <w:p w14:paraId="773367F7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stacja zwrotna, końcowa</w:t>
            </w:r>
          </w:p>
          <w:p w14:paraId="0A286605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itd. </w:t>
            </w:r>
          </w:p>
        </w:tc>
      </w:tr>
      <w:tr w:rsidR="00726139" w:rsidRPr="00726139" w14:paraId="642B1266" w14:textId="77777777" w:rsidTr="003445D4">
        <w:tc>
          <w:tcPr>
            <w:tcW w:w="1555" w:type="dxa"/>
          </w:tcPr>
          <w:p w14:paraId="560FE089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 xml:space="preserve">Art.3 </w:t>
            </w:r>
          </w:p>
        </w:tc>
        <w:tc>
          <w:tcPr>
            <w:tcW w:w="4961" w:type="dxa"/>
          </w:tcPr>
          <w:p w14:paraId="3A25D624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Brak zapisu</w:t>
            </w:r>
          </w:p>
        </w:tc>
        <w:tc>
          <w:tcPr>
            <w:tcW w:w="9178" w:type="dxa"/>
          </w:tcPr>
          <w:p w14:paraId="5894EBE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Brak definicji „przewozów aglomeracyjnych” lub odwołania do innych obowiązujących przepisów.</w:t>
            </w:r>
          </w:p>
        </w:tc>
      </w:tr>
      <w:tr w:rsidR="00726139" w:rsidRPr="00726139" w14:paraId="7A7C0B80" w14:textId="77777777" w:rsidTr="003445D4">
        <w:tc>
          <w:tcPr>
            <w:tcW w:w="1555" w:type="dxa"/>
          </w:tcPr>
          <w:p w14:paraId="636DBB34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b/>
                <w:bCs/>
                <w:szCs w:val="22"/>
              </w:rPr>
            </w:pPr>
            <w:r w:rsidRPr="00726139">
              <w:rPr>
                <w:rFonts w:cstheme="minorBidi"/>
                <w:b/>
                <w:bCs/>
                <w:szCs w:val="22"/>
              </w:rPr>
              <w:t>Art. 3, pkt 3)</w:t>
            </w:r>
          </w:p>
        </w:tc>
        <w:tc>
          <w:tcPr>
            <w:tcW w:w="4961" w:type="dxa"/>
          </w:tcPr>
          <w:p w14:paraId="03B3A62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b/>
                <w:bCs/>
                <w:szCs w:val="22"/>
              </w:rPr>
            </w:pPr>
            <w:r w:rsidRPr="00726139">
              <w:rPr>
                <w:rFonts w:cstheme="minorBidi"/>
                <w:b/>
                <w:bCs/>
                <w:szCs w:val="22"/>
              </w:rPr>
              <w:t>stacja macierzysta – określone miejsce, względem którego liczony jest czas pracy maszynisty, w tym siedziba pracodawcy albo podmiotu zatrudniającego, jego oddziału albo inne miejsce, w którym maszynista jest obowiązany do stawienia się przed rozpoczęciem oraz po zakończeniu świadczenia pracy;</w:t>
            </w:r>
          </w:p>
        </w:tc>
        <w:tc>
          <w:tcPr>
            <w:tcW w:w="9178" w:type="dxa"/>
          </w:tcPr>
          <w:p w14:paraId="1DFA5ECB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b/>
                <w:bCs/>
                <w:szCs w:val="22"/>
                <w:u w:val="single"/>
              </w:rPr>
            </w:pPr>
            <w:r w:rsidRPr="00726139">
              <w:rPr>
                <w:rFonts w:cstheme="minorBidi"/>
                <w:b/>
                <w:bCs/>
                <w:szCs w:val="22"/>
                <w:u w:val="single"/>
              </w:rPr>
              <w:t xml:space="preserve">W zgodnej opinii wszystkich podmiotów zrzeszonych w IGTL, które wzięły udział w konsultacjach, wprowadzenie rozwiązania opartego na stacji macierzystej jako miejsca w sposób stały wyznaczonego w umowie o pracę w proponowanym kształcie jest nie do przyjęcia, jako szkodliwe dla konkurencyjności transportu kolejowego, niekorzystne dla pracowników i w żaden sposób nie poprawiające bezpieczeństwa – w skrajnych przypadkach może ono doprowadzić do pogorszenia jego stanu.  </w:t>
            </w:r>
          </w:p>
          <w:p w14:paraId="29135AC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668F482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Aktualnie wielu przedsiębiorców zapewnia maszynistom bezpośrednie dowozy do/od pociągów/pojazdów oraz noclegi lub miejsca odpoczynku. Wprowadzanie stacji macierzystej nie ma w takim przypadku żadnego uzasadnienia ekonomicznego, organizacyjnego, ani też z punktu widzenia bezpieczeństwa. Propozycja może doprowadzić do odwrotnego skutku niż przewidziano w OSR, ponieważ stacje macierzyste wyznaczone mogą być (w szczególności w transporcie towarowym) daleko od miejsca zamieszkania, bez dogodnych opcji komunikacyjnych, ale blisko punktów objęcia pociągu/pojazdu. Może dojść do absurdalnej sytuacji, kiedy zamiast krótszej podróży transportem zapewnionym przez pracodawcę z miejsca noclegu/zamieszkania do miejsca rozpoczęcia pracy, maszynista będzie zmuszony samodzielnie dostać się do stacji macierzystej, co może być bardziej wyczerpujące i trwać znacznie dłużej. Obligowanie maszynistów do dojazdu do stacji macierzystej na własny koszt i w czasie odpoczynku nie ma nic wspólnego z optymalizacją organizacji pracy, a tym bardziej z poprawą bezpieczeństwa.</w:t>
            </w:r>
          </w:p>
          <w:p w14:paraId="21CF1C24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2177581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Samo pojęcie stacja macierzysta może być źródłem sprzecznych interpretacji, ponieważ stacja jest definiowana w § 3 ust. 4 pkt 1 lit. a rozporządzenia Ministra infrastruktury z dnia 18 lipca 2005 r. w sprawie ogólnych warunków prowadzenia ruchu kolejowego i sygnalizacji. Definicja zaproponowana w ustawie przypisuje inne znaczenie terminowi powszechnie używanemu w domenie kolejowej, co należy uznać za błąd legislacyjny. </w:t>
            </w:r>
          </w:p>
        </w:tc>
      </w:tr>
      <w:tr w:rsidR="00726139" w:rsidRPr="00726139" w14:paraId="20B2A2D5" w14:textId="77777777" w:rsidTr="003445D4">
        <w:tc>
          <w:tcPr>
            <w:tcW w:w="1555" w:type="dxa"/>
          </w:tcPr>
          <w:p w14:paraId="03D22BD5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 4.1.</w:t>
            </w:r>
          </w:p>
        </w:tc>
        <w:tc>
          <w:tcPr>
            <w:tcW w:w="4961" w:type="dxa"/>
          </w:tcPr>
          <w:p w14:paraId="30E8477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Czasem pracy maszynisty jest czas od rozpoczęcia do zakończenia świadczenia pracy, który obejmuje czynności związane z prowadzeniem pojazdu kolejowego.</w:t>
            </w:r>
          </w:p>
        </w:tc>
        <w:tc>
          <w:tcPr>
            <w:tcW w:w="9178" w:type="dxa"/>
          </w:tcPr>
          <w:p w14:paraId="5A09BBA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Zapis jest niespójny z zapisem w art. 4 ust 2 pkt 3 – 4; pkt 7 – 10, które nie mają nic wspólnego z prowadzeniem pojazdu kolejowego.</w:t>
            </w:r>
          </w:p>
          <w:p w14:paraId="4271BED4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</w:tc>
      </w:tr>
      <w:tr w:rsidR="00726139" w:rsidRPr="00726139" w14:paraId="2364CB77" w14:textId="77777777" w:rsidTr="003445D4">
        <w:tc>
          <w:tcPr>
            <w:tcW w:w="1555" w:type="dxa"/>
          </w:tcPr>
          <w:p w14:paraId="001D9AB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Art.4.2</w:t>
            </w:r>
          </w:p>
        </w:tc>
        <w:tc>
          <w:tcPr>
            <w:tcW w:w="4961" w:type="dxa"/>
          </w:tcPr>
          <w:p w14:paraId="0AC580C7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Do czasu pracy maszynisty wlicza się czas przeznaczony na: (…)</w:t>
            </w:r>
          </w:p>
        </w:tc>
        <w:tc>
          <w:tcPr>
            <w:tcW w:w="9178" w:type="dxa"/>
          </w:tcPr>
          <w:p w14:paraId="55EA1667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Kwestia ta dostatecznie jest uregulowana przez  kodeks pracy art.128.§1 oraz doktrynę prawa pracy, jak również bardzo bogate orzecznictwo w tej materii, składające się na dorobek </w:t>
            </w:r>
            <w:r w:rsidRPr="00726139">
              <w:rPr>
                <w:rFonts w:cstheme="minorBidi"/>
                <w:szCs w:val="22"/>
              </w:rPr>
              <w:lastRenderedPageBreak/>
              <w:t>naukowy tej dziedziny. Czasem pracy jest czas, w którym pracownik pozostaje w dyspozycji pracodawcy w zakładzie pracy lub winnym miejscu wyznaczonym do wykonywania pracy</w:t>
            </w:r>
          </w:p>
          <w:p w14:paraId="106A59E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Wziąwszy powyższe pod uwagę oraz stosownie do wskazywanych powyżej postulatów dot. definicji konieczne jest przeformułowanie tego artykułu i ujęcie m.in. czasu prowadzenia pojazdu kolejowego w odróżnieniu od czasu pozostawania w gotowości/dyspozycji/dyżuru. </w:t>
            </w:r>
          </w:p>
          <w:p w14:paraId="5B07E46F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Jeżeli czas dotarcia do/od miejsca rozpoczęcia/zakończenia pracy miałby być zaliczony do czasu pracy, to powinien być zaliczany do kategorii „gotowości”, a nie prowadzenia pojazdu. Należałoby w takiej sytuacji wprowadzić do ustawy obowiązki i prawa pracodawcy i pracownika w zakresie zapisów układu zbiorowego lub regulaminu w odniesieniu do „gotowości do podjęcia/pozostawanie w dyspozycji”, w szczególności katalogu czynności i zasad wynagradzania. </w:t>
            </w:r>
          </w:p>
          <w:p w14:paraId="58D3574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Ewentualnie kwestia dojazdu do/z lokomotywy jako czasu pracy mogłaby zostać uregulowana w sposób zgodny z linią orzeczniczą SN, zgodnie z którą czas przejazdu pracownika drużyny trakcyjnej z jego zakładu pracy do miejsca wykonywania pracy tzw. </w:t>
            </w:r>
            <w:proofErr w:type="spellStart"/>
            <w:r w:rsidRPr="00726139">
              <w:rPr>
                <w:rFonts w:cstheme="minorBidi"/>
                <w:szCs w:val="22"/>
              </w:rPr>
              <w:t>pozapociągowej</w:t>
            </w:r>
            <w:proofErr w:type="spellEnd"/>
            <w:r w:rsidRPr="00726139">
              <w:rPr>
                <w:rFonts w:cstheme="minorBidi"/>
                <w:szCs w:val="22"/>
              </w:rPr>
              <w:t xml:space="preserve"> jest czasem pracy tylko wtedy, gdy pracownik ten był zobowiązany do stawienia się w zakładzie pracy przed rozpoczęciem przejazdu. (por. uchwała Sądu Najwyższego z dnia 18 marca 1998 r., sygn. akt: III ZP 20/97). Wówczas pracodawca miałby możliwość zorganizowania pracy w taki sposób, aby maszynista nie musiał stawiać się w zakładzie pracy, ale mógł to robić np. w celu skorzystania z transportu technologicznego zapewnionego przez pracodawcę. Jednak w takim przypadku czas dojazdu nie byłby wliczany do czasu pracy.</w:t>
            </w:r>
          </w:p>
          <w:p w14:paraId="3EC840A5" w14:textId="5FD7736B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Pkt 7) zawiera konieczność zaliczenia do czasu pracy udziału w postępowaniu prowadzonym przez sąd, prokuraturę lub inny organ ochrony prawnej. </w:t>
            </w:r>
            <w:r w:rsidRPr="00BB4A73">
              <w:rPr>
                <w:rFonts w:cstheme="minorBidi"/>
                <w:szCs w:val="22"/>
              </w:rPr>
              <w:t>Nie sposób się zgodzić z tym, aby czas poświęcony przez pracownika na udział w postępowaniach prowadzonych przez sądy/prokuraturę/itp. zawsze i bezwarunkowo wliczany był do czasu pracy.</w:t>
            </w:r>
            <w:r w:rsidRPr="00726139">
              <w:rPr>
                <w:rFonts w:cstheme="minorBidi"/>
                <w:szCs w:val="22"/>
              </w:rPr>
              <w:t xml:space="preserve"> </w:t>
            </w:r>
            <w:r w:rsidRPr="008A52FD">
              <w:rPr>
                <w:rFonts w:cstheme="minorBidi"/>
                <w:szCs w:val="22"/>
              </w:rPr>
              <w:t>Przede wszystkim warunkiem takiego zaliczenia powin</w:t>
            </w:r>
            <w:r w:rsidR="00BB4A73" w:rsidRPr="008A52FD">
              <w:rPr>
                <w:rFonts w:cstheme="minorBidi"/>
                <w:szCs w:val="22"/>
              </w:rPr>
              <w:t>ie</w:t>
            </w:r>
            <w:r w:rsidRPr="008A52FD">
              <w:rPr>
                <w:rFonts w:cstheme="minorBidi"/>
                <w:szCs w:val="22"/>
              </w:rPr>
              <w:t xml:space="preserve">n być </w:t>
            </w:r>
            <w:r w:rsidR="00BB4A73" w:rsidRPr="008A52FD">
              <w:rPr>
                <w:rFonts w:cstheme="minorBidi"/>
                <w:szCs w:val="22"/>
              </w:rPr>
              <w:t xml:space="preserve">związek z wykonywaną pracą lub zatrudnieniem, a ponadto </w:t>
            </w:r>
            <w:r w:rsidRPr="008A52FD">
              <w:rPr>
                <w:rFonts w:cstheme="minorBidi"/>
                <w:szCs w:val="22"/>
              </w:rPr>
              <w:t>wezwanie maszynisty przez odpowiedni organ do obowiązkowego stawiennictwa.</w:t>
            </w:r>
            <w:r w:rsidRPr="00726139">
              <w:rPr>
                <w:rFonts w:cstheme="minorBidi"/>
                <w:szCs w:val="22"/>
              </w:rPr>
              <w:t xml:space="preserve"> Ponadto koniecznym byłoby wyłączenie tutaj przypadków, gdy takie postępowanie toczy się np. w związku ze zdarzeniem zaistniałym z winy tego pracownika (ale nie wyłącznej). Taka regulacja nie dotyczy innych grup zawodowych, co może powodować wątpliwość co do pewnego rodzaju dyskryminacji.</w:t>
            </w:r>
          </w:p>
        </w:tc>
      </w:tr>
      <w:tr w:rsidR="00726139" w:rsidRPr="00726139" w14:paraId="7CC8F567" w14:textId="77777777" w:rsidTr="003445D4">
        <w:tc>
          <w:tcPr>
            <w:tcW w:w="1555" w:type="dxa"/>
          </w:tcPr>
          <w:p w14:paraId="6CDE5FA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>Art. 5</w:t>
            </w:r>
          </w:p>
        </w:tc>
        <w:tc>
          <w:tcPr>
            <w:tcW w:w="4961" w:type="dxa"/>
          </w:tcPr>
          <w:p w14:paraId="2A09930B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1. Czas pracy maszynisty zatrudnionego u kilku pracodawców lub podmiotów zatrudniających, a także zatrudnionego jednocześnie przez pracodawcę i podmiot zatrudniający, podlega sumowaniu i nie może przekraczać tygodniowo:</w:t>
            </w:r>
          </w:p>
          <w:p w14:paraId="4C5AD826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1)</w:t>
            </w:r>
            <w:r w:rsidRPr="00726139">
              <w:rPr>
                <w:rFonts w:cstheme="minorBidi"/>
                <w:szCs w:val="22"/>
              </w:rPr>
              <w:tab/>
              <w:t>40 godzin – w przypadku zatrudnienia na podstawie dwóch lub więcej stosunków pracy;</w:t>
            </w:r>
          </w:p>
          <w:p w14:paraId="54230AC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>2)</w:t>
            </w:r>
            <w:r w:rsidRPr="00726139">
              <w:rPr>
                <w:rFonts w:cstheme="minorBidi"/>
                <w:szCs w:val="22"/>
              </w:rPr>
              <w:tab/>
              <w:t>48 godzin – w przypadku zatrudnienia na dwóch lub więcej innych podstawach niż stosunek pracy;</w:t>
            </w:r>
          </w:p>
          <w:p w14:paraId="5F60B65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3) </w:t>
            </w:r>
            <w:r w:rsidRPr="00726139">
              <w:rPr>
                <w:rFonts w:cstheme="minorBidi"/>
                <w:szCs w:val="22"/>
              </w:rPr>
              <w:tab/>
              <w:t>48 godzin – w przypadku zatrudnienia na podstawie stosunku pracy i innej podstawie niż stosunek pracy; w takim przypadku zatrudnienie na podstawie stosunku pracy nie może przekraczać 40 godzin.</w:t>
            </w:r>
          </w:p>
          <w:p w14:paraId="1C3F860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2. Sumowaniu podlega również czas pracy maszynisty przy prowadzeniu pojazdów kolejowych oraz przy wykonywaniu czynności na stanowiskach pracy bezpośrednio związanych z prowadzeniem i bezpieczeństwem ruchu kolejowego.</w:t>
            </w:r>
          </w:p>
        </w:tc>
        <w:tc>
          <w:tcPr>
            <w:tcW w:w="9178" w:type="dxa"/>
          </w:tcPr>
          <w:p w14:paraId="4C05F916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 xml:space="preserve">Nieuzasadnione różnicowanie umów o pracę i innych form zatrudnienia. Konsekwencją zapisów będzie tendencja do nadużywania umów cywilnoprawnych i samozatrudnienia. </w:t>
            </w:r>
          </w:p>
          <w:p w14:paraId="1C319776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358C54DF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Zapisy dotyczące sumowania czasu pracy powinny zostać zmienione w oparciu o paradygmat składowych czasu pracy. Konieczne jest uwzględnienie specyfiki przedsiębiorstw budowlanych, utrzymaniowych oraz zarządców bocznic, gdzie pracownicy wykonują zarówno zadania maszynisty/prowadzącego pojazdy, jak również inne zadania nie związane bezpośrednio z bezpieczeństwem i prowadzeniem ruchu kolejowego.</w:t>
            </w:r>
          </w:p>
          <w:p w14:paraId="63A0C20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294090A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Należy rozważyć ograniczenie sumowania czasu do czasu prowadzenia pojazdu i tylko w tym zakresie wprowadzać regulacje. </w:t>
            </w:r>
          </w:p>
          <w:p w14:paraId="2CF98DF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 </w:t>
            </w:r>
          </w:p>
        </w:tc>
      </w:tr>
      <w:tr w:rsidR="00726139" w:rsidRPr="00726139" w14:paraId="1168AD04" w14:textId="77777777" w:rsidTr="003445D4">
        <w:tc>
          <w:tcPr>
            <w:tcW w:w="1555" w:type="dxa"/>
          </w:tcPr>
          <w:p w14:paraId="447B7019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>Art. 6. 1.</w:t>
            </w:r>
          </w:p>
        </w:tc>
        <w:tc>
          <w:tcPr>
            <w:tcW w:w="4961" w:type="dxa"/>
          </w:tcPr>
          <w:p w14:paraId="4E883657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Umowa, na podstawie której maszynista świadczy pracę określa stację macierzystą.</w:t>
            </w:r>
          </w:p>
        </w:tc>
        <w:tc>
          <w:tcPr>
            <w:tcW w:w="9178" w:type="dxa"/>
          </w:tcPr>
          <w:p w14:paraId="5A99777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Treść umowy o pracę określona jest w Kodeksie Pracy i nie ma żadnego uzasadnienia do rozszerzania jej o stację macierzystą. </w:t>
            </w:r>
          </w:p>
          <w:p w14:paraId="4C897549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Punkt zakończenia i rozpoczęcia pracy, w zależności od charakteru przewoźnika/przedsiębiorcy, powinien być uregulowany w regulaminie/układzie zbiorowym, tj. dokumentach wewnętrznych pracodawcy. Nie jest właściwe regulowanie na poziomie ustawy kwestii tak szczegółowej, zwłaszcza że nie ma możliwości opisu wszelkich okoliczności i zasad wyznaczania stacji macierzystej. Dla przykładu: odległość od miejsca zamieszkania, odległość między dwiema stacjami macierzystymi, kwestia zmiany miejsca zamieszkania przez pracownika, kwestia częstotliwości aneksowania umowy o pracę w zakresie stacji macierzystej, itd. </w:t>
            </w:r>
          </w:p>
          <w:p w14:paraId="506555EC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5A9E27DC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Uregulowanie ww. zagadnienia na poziomie ustawy mogłoby obejmować zobowiązanie pracodawcy do ujęcia w regulaminie/układzie zbiorowym zasad dot. miejsca rozpoczęcia/zakończenia oraz kryteriów wyznaczania i wpływu na liczenie czasu pracy, odpoczynku, np. w zakresie: </w:t>
            </w:r>
          </w:p>
          <w:p w14:paraId="006BF6B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- maksymalnego czasu dotarcia do miejsca rozpoczęcia/zakończenia pracy</w:t>
            </w:r>
          </w:p>
          <w:p w14:paraId="48E3C0F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- zasad zaliczania lub nie zaliczania czasu dojazdu do czasu przerwy w pracy (okresu wypoczynku)</w:t>
            </w:r>
          </w:p>
          <w:p w14:paraId="646F77D6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- zasad organizacji transportu przez pracodawcę</w:t>
            </w:r>
          </w:p>
          <w:p w14:paraId="23552E7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- zasad organizacji noclegów/odpoczynku przez pracodawcę</w:t>
            </w:r>
          </w:p>
          <w:p w14:paraId="15E3C639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- itd.</w:t>
            </w:r>
          </w:p>
          <w:p w14:paraId="5E384761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301749C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Należy przeprowadzić szeroką i szczegółową analizę aktualnie stosowanych rozwiązań u poszczególnych pracodawców, w innych państwach członkowskich, w innych gałęziach </w:t>
            </w:r>
            <w:r w:rsidRPr="00726139">
              <w:rPr>
                <w:rFonts w:cstheme="minorBidi"/>
                <w:szCs w:val="22"/>
              </w:rPr>
              <w:lastRenderedPageBreak/>
              <w:t xml:space="preserve">transportu (w szczególności w transporcie lotniczym). Regulacja ustawowa powinna być oparta na najlepszych praktykach, a nie kopii układu zbiorowego jednej ze spółek, którego wpływ na bezpieczeństwo oraz efektywność nie jest potwierdzony. </w:t>
            </w:r>
          </w:p>
          <w:p w14:paraId="08771717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5BBD8A1F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Dodatkowym problemem prawnym wynikającym z wpisania stacji macierzystej w umowie o pracę jest kwestia delegacji. Uzasadnienie i OSR projektu zupełnie pomijają ten aspekt, a może mieć on bardzo istotne znaczenie w przypadku transportu towarowego, który charakteryzuje się dużą nieregularnością i wiąże się często z realizacją przewozów z koniecznością noclegów i dalekich dojazdów. Ponadto brak możliwości zakończenia/rozpoczęcia pracy poza stacją macierzystą będzie skutkował zwiększeniem zakłóceń w ruchu i zmniejszeniem przepustowości linii i stacji. Dla przykładu maszynista, który bez określania stacji macierzystej mógłby doprowadzić pociąg do końca trasy przebiegu w ramach maksymalnego czasu prowadzenia pociągu, musi wrócić do stacji macierzystej, a czas dojazdu zalicza się do czasu pracy, co skutkuje koniecznością zatrzymania pociągu i oczekiwania na stacji pośredniej na zmianę obsady. </w:t>
            </w:r>
          </w:p>
        </w:tc>
      </w:tr>
      <w:tr w:rsidR="00726139" w:rsidRPr="00726139" w14:paraId="45517C8F" w14:textId="77777777" w:rsidTr="003445D4">
        <w:tc>
          <w:tcPr>
            <w:tcW w:w="1555" w:type="dxa"/>
          </w:tcPr>
          <w:p w14:paraId="77C23F8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>Art. 6.3</w:t>
            </w:r>
          </w:p>
        </w:tc>
        <w:tc>
          <w:tcPr>
            <w:tcW w:w="4961" w:type="dxa"/>
          </w:tcPr>
          <w:p w14:paraId="720D00E7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3. Z obowiązku określenia stacji macierzystej jest zwolniony pracodawca oraz podmiot zatrudniający, który zatrudnia maszynistę:</w:t>
            </w:r>
          </w:p>
          <w:p w14:paraId="77E8815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1)</w:t>
            </w:r>
            <w:r w:rsidRPr="00726139">
              <w:rPr>
                <w:rFonts w:cstheme="minorBidi"/>
                <w:szCs w:val="22"/>
              </w:rPr>
              <w:tab/>
              <w:t>przy inwestycjach kolejowych lub pracach utrzymaniowych na infrastrukturze kolejowej;</w:t>
            </w:r>
          </w:p>
          <w:p w14:paraId="2DB70EAC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2)</w:t>
            </w:r>
            <w:r w:rsidRPr="00726139">
              <w:rPr>
                <w:rFonts w:cstheme="minorBidi"/>
                <w:szCs w:val="22"/>
              </w:rPr>
              <w:tab/>
              <w:t>w przewozach aglomeracyjnych;</w:t>
            </w:r>
          </w:p>
          <w:p w14:paraId="62BAA025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3)</w:t>
            </w:r>
            <w:r w:rsidRPr="00726139">
              <w:rPr>
                <w:rFonts w:cstheme="minorBidi"/>
                <w:szCs w:val="22"/>
              </w:rPr>
              <w:tab/>
              <w:t>w zakresie okresowych przejazdów pociągami w celu wykonania prac związanych z utrzymaniem lub naprawą pojazdów kolejowych.</w:t>
            </w:r>
          </w:p>
        </w:tc>
        <w:tc>
          <w:tcPr>
            <w:tcW w:w="9178" w:type="dxa"/>
          </w:tcPr>
          <w:p w14:paraId="2C9E861B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Zapisy dotyczące inwestycji i utrzymania zostawiają bardzo duże pole do interpretacji – w ramach inwestycji występują np. całopociągowe dostawy materiałów (tłuczeń, podkłady) lub przewóz rozjazdów w blokach na rzecz podmiotów trzecich. Konieczne jest uzupełnienie i doprecyzowanie przepisów po konsultacjach z firmami realizującymi roboty budowlane na sieci kolejowej. </w:t>
            </w:r>
          </w:p>
          <w:p w14:paraId="588B8B6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Podział na przewozy aglomeracyjne lub nie jest nie końca zbieżny z charakterem przewozów ponadto brak jest w projekcie uzasadnione z czego to wyłączenie wynika. Zbliżona organizację przewozów mają niektóre spółki samorządowe czy też lokalni przewoźnicy towarów.</w:t>
            </w:r>
          </w:p>
          <w:p w14:paraId="7C6FE73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Przewozy definiowane są jako aglomeracyjne poprzez organizatora oraz obszar i cel prowadzonej działalności a nie organizację zatrudnienia czy długość relacji pociągowej.</w:t>
            </w:r>
          </w:p>
          <w:p w14:paraId="6C05883C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2B48579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Brak wyłączenia dla przewozów okazjonalnych. </w:t>
            </w:r>
          </w:p>
          <w:p w14:paraId="1155F895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2A2E17B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Brak ujęcia w przepisach specyfiki przedsiębiorców realizujących jednocześnie przewozy i obsługę manewrową na stacji początkowej lub końcowej obsługiwane okresowo, sporadycznie. (Np.: dostawa materiałów na inwestycje kolejowe, dostawy węgla do elektrociepłowni itp.). </w:t>
            </w:r>
          </w:p>
        </w:tc>
      </w:tr>
      <w:tr w:rsidR="00726139" w:rsidRPr="00726139" w14:paraId="6DAD9A52" w14:textId="77777777" w:rsidTr="003445D4">
        <w:tc>
          <w:tcPr>
            <w:tcW w:w="1555" w:type="dxa"/>
          </w:tcPr>
          <w:p w14:paraId="62245E0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Brak uregulowania</w:t>
            </w:r>
          </w:p>
        </w:tc>
        <w:tc>
          <w:tcPr>
            <w:tcW w:w="4961" w:type="dxa"/>
          </w:tcPr>
          <w:p w14:paraId="28390C57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</w:tc>
        <w:tc>
          <w:tcPr>
            <w:tcW w:w="9178" w:type="dxa"/>
          </w:tcPr>
          <w:p w14:paraId="2F9B237F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Konieczność wprowadzenia przepisów określających zasady zatrudniania maszynistów u więcej niż jednego pracodawcy. Zasadnym jest wprowadzenie regulacji wskazującej minimalne wymogi porozumień pomiędzy podmiotami zatrudniającymi, w szczególności w zakresie sumowania czasu pracy, czasu pozostawania w gotowości, początku/końca doby pracowniczej, itd. </w:t>
            </w:r>
          </w:p>
        </w:tc>
      </w:tr>
      <w:tr w:rsidR="00726139" w:rsidRPr="00726139" w14:paraId="0CBFF1E3" w14:textId="77777777" w:rsidTr="003445D4">
        <w:tc>
          <w:tcPr>
            <w:tcW w:w="1555" w:type="dxa"/>
          </w:tcPr>
          <w:p w14:paraId="38063E2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 xml:space="preserve">Rozdział 2 i Rozdział 3 </w:t>
            </w:r>
          </w:p>
        </w:tc>
        <w:tc>
          <w:tcPr>
            <w:tcW w:w="4961" w:type="dxa"/>
          </w:tcPr>
          <w:p w14:paraId="628BAD31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</w:tc>
        <w:tc>
          <w:tcPr>
            <w:tcW w:w="9178" w:type="dxa"/>
          </w:tcPr>
          <w:p w14:paraId="23802C2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Brak uzasadnienia dla różnicowania zasad dla stosunku pracy i innych form zatrudnienia. Z projektu ustawy wynika preferencja dla innych niż stosunek pracy form zatrudnienia, co w konsekwencji może doprowadzić do pogorszenia sytuacji pracowników. </w:t>
            </w:r>
          </w:p>
          <w:p w14:paraId="0729ED7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6E86E0C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Co do zasady w ustawie powinny znaleźć się zapisy dotyczące różnicowania składników czasu pracy (prowadzenie pojazdu, gotowość/dyżur, itd.). Wskazane odniesienie do konieczności uregulowania tych zagadnień w układzie zbiorowym/regulaminie i ustanowienie wymogów minimalnych i kryteriów.</w:t>
            </w:r>
          </w:p>
          <w:p w14:paraId="47699B71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397D089B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Należy wprowadzić rozwiązania wskazujące, że w regulaminie/układzie zbiorowym pracodawca jest zobowiązany do określenia zasad przedłużania przerwy w pracy w sytuacji, kiedy dotarcie do miejsca rozpoczęcia/zakończenia pracy przekracza określony czas. Innymi słowy dojazd nie jest równoznaczny z prowadzeniem pojazdu (pozostawanie w dyspozycji), ale nie wlicza się go do czasu wypoczynku. </w:t>
            </w:r>
          </w:p>
        </w:tc>
      </w:tr>
      <w:tr w:rsidR="00726139" w:rsidRPr="00726139" w14:paraId="25685C56" w14:textId="77777777" w:rsidTr="003445D4">
        <w:tc>
          <w:tcPr>
            <w:tcW w:w="1555" w:type="dxa"/>
          </w:tcPr>
          <w:p w14:paraId="3AAF413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Art. 7 </w:t>
            </w:r>
          </w:p>
        </w:tc>
        <w:tc>
          <w:tcPr>
            <w:tcW w:w="4961" w:type="dxa"/>
          </w:tcPr>
          <w:p w14:paraId="7064E9B0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Czas pracy maszynisty zatrudnionego na podstawie stosunku pracy nie może przekraczać 8 godzin na dobę i przeciętnie 40 godzin w przeciętnie pięciodniowym tygodniu pracy, w przyjętym okresie rozliczeniowym nieprzekraczającym 2 miesięcy.</w:t>
            </w:r>
          </w:p>
        </w:tc>
        <w:tc>
          <w:tcPr>
            <w:tcW w:w="9178" w:type="dxa"/>
          </w:tcPr>
          <w:p w14:paraId="6A65EC90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Konieczne jest w tym miejscu wyodrębnienie czasu prowadzenia pojazdu i dopuszczenia przerywanego czasu prowadzenia pojazdu na wzór rozwiązań w transporcie lotniczym i samochodowym. Pozwoli to na odzwierciedlenie realiów transportu towarowego, gdzie w czasie zmiany roboczej czas prowadzenia pojazdu jest przerywany planowymi lub nieplanowymi postojami wynikającymi z indywidualnego rozkładu jazdy lub sytuacji ruchowej. </w:t>
            </w:r>
          </w:p>
          <w:p w14:paraId="6331323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  <w:p w14:paraId="71615DDF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Brak uzasadnienia dla skracania okresu rozliczeniowego. Idea stosowania trzymiesięcznego okresu rozliczeniowego wynika z nierównomierności rozłożenia dni ustawowo wolnych od pracy oraz sezonowości przewozów. Pozwala to lepiej i bardziej równomiernie planować zatrudnienie i dzięki temu można także w sezonach urlopowych nie ograniczać nadmiernie kierowania pracowników na dłuższy wypoczynek. Skrócenie okresu rozliczeniowego skutkować będzie zwiększeniem obciążenia pracą pracownika w miesiącach „dłuższych”. Miesięczne nierównomierności normatywnego czasu pracy w roku sięgają od 18 do 23 dni czyli nawet 1 tydzień roboczy.</w:t>
            </w:r>
          </w:p>
          <w:p w14:paraId="3F5B1CB0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</w:tc>
      </w:tr>
      <w:tr w:rsidR="00726139" w:rsidRPr="00726139" w14:paraId="05E31539" w14:textId="77777777" w:rsidTr="003445D4">
        <w:tc>
          <w:tcPr>
            <w:tcW w:w="1555" w:type="dxa"/>
          </w:tcPr>
          <w:p w14:paraId="2FAB254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Art. 8 </w:t>
            </w:r>
          </w:p>
        </w:tc>
        <w:tc>
          <w:tcPr>
            <w:tcW w:w="4961" w:type="dxa"/>
          </w:tcPr>
          <w:p w14:paraId="53C142E5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1. W systemie równoważnego czasu pracy jest dopuszczalne przedłużenie czasu pracy maszynisty zatrudnionego na podstawie stosunku pracy nie więcej niż do 12 godzin na dobę, w okresie rozliczeniowym nieprzekraczającym miesiąca.</w:t>
            </w:r>
          </w:p>
        </w:tc>
        <w:tc>
          <w:tcPr>
            <w:tcW w:w="9178" w:type="dxa"/>
          </w:tcPr>
          <w:p w14:paraId="383036F0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Nieuzasadnione skrócenie okresu rozliczeniowego. </w:t>
            </w:r>
          </w:p>
          <w:p w14:paraId="2CB876AC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Konieczne doprecyzowanie pojęcia doby (pracownicza, kalendarzowa). </w:t>
            </w:r>
          </w:p>
          <w:p w14:paraId="3BAD6406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Konieczne doprecyzowanie zapisów z uwzględnieniem składowych czasu pracy, o których mowa powyżej.</w:t>
            </w:r>
          </w:p>
        </w:tc>
      </w:tr>
      <w:tr w:rsidR="00726139" w:rsidRPr="00726139" w14:paraId="6859C206" w14:textId="77777777" w:rsidTr="003445D4">
        <w:tc>
          <w:tcPr>
            <w:tcW w:w="1555" w:type="dxa"/>
          </w:tcPr>
          <w:p w14:paraId="73B1D36B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 9</w:t>
            </w:r>
          </w:p>
        </w:tc>
        <w:tc>
          <w:tcPr>
            <w:tcW w:w="4961" w:type="dxa"/>
          </w:tcPr>
          <w:p w14:paraId="0808940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1. W każdej dobie maszyniście zatrudnionemu na podstawie stosunku pracy przysługuje prawo do </w:t>
            </w:r>
            <w:r w:rsidRPr="00726139">
              <w:rPr>
                <w:rFonts w:cstheme="minorBidi"/>
                <w:szCs w:val="22"/>
              </w:rPr>
              <w:lastRenderedPageBreak/>
              <w:t>co najmniej 12 godzin nieprzerwanego odpoczynku.</w:t>
            </w:r>
          </w:p>
          <w:p w14:paraId="4C248B04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2. Maszyniście zatrudnionemu na podstawie stosunku pracy, który świadczył pracę dłużej niż 12 godzin, przysługuje odpoczynek przez czas odpowiadający co najmniej liczbie przepracowanych godzin.</w:t>
            </w:r>
          </w:p>
        </w:tc>
        <w:tc>
          <w:tcPr>
            <w:tcW w:w="9178" w:type="dxa"/>
          </w:tcPr>
          <w:p w14:paraId="30F5FF8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 xml:space="preserve">Konieczne jest wprowadzenie zapisów dopuszczających skrócenie do 10 godzin czasu nieprzerwanego odpoczynku w sytuacji zapewnienia przez pracodawcę noclegu. </w:t>
            </w:r>
          </w:p>
        </w:tc>
      </w:tr>
      <w:tr w:rsidR="00726139" w:rsidRPr="00726139" w14:paraId="5238C1F2" w14:textId="77777777" w:rsidTr="003445D4">
        <w:tc>
          <w:tcPr>
            <w:tcW w:w="1555" w:type="dxa"/>
          </w:tcPr>
          <w:p w14:paraId="56755F6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 9 ust. 3</w:t>
            </w:r>
          </w:p>
        </w:tc>
        <w:tc>
          <w:tcPr>
            <w:tcW w:w="4961" w:type="dxa"/>
          </w:tcPr>
          <w:p w14:paraId="6FDA02F4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W każdym tygodniu maszyniście zatrudnionemu na podstawie stosunku pracy przysługuje prawo do co najmniej 36 godzin nieprzerwanego odpoczynku. Tygodniowy nieprzerwany odpoczynek obejmuje odpoczynek dobowy, o którym mowa w ust. 1, przypadający w dniu, w którym maszynista rozpoczął tygodniowy nieprzerwany odpoczynek.</w:t>
            </w:r>
          </w:p>
        </w:tc>
        <w:tc>
          <w:tcPr>
            <w:tcW w:w="9178" w:type="dxa"/>
          </w:tcPr>
          <w:p w14:paraId="19B0333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Nieuzasadniona zmiana w stosunku do określonych w Kodeksie Pracy 35 godzin. </w:t>
            </w:r>
          </w:p>
          <w:p w14:paraId="17AA9AE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Rozbieżność z uzasadnieniem. </w:t>
            </w:r>
          </w:p>
          <w:p w14:paraId="07047CE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Postulat usunięcia zapisu. </w:t>
            </w:r>
          </w:p>
        </w:tc>
      </w:tr>
      <w:tr w:rsidR="00726139" w:rsidRPr="00726139" w14:paraId="0435325A" w14:textId="77777777" w:rsidTr="003445D4">
        <w:tc>
          <w:tcPr>
            <w:tcW w:w="1555" w:type="dxa"/>
          </w:tcPr>
          <w:p w14:paraId="66754FCE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Art. 11, ust 3 </w:t>
            </w:r>
          </w:p>
        </w:tc>
        <w:tc>
          <w:tcPr>
            <w:tcW w:w="4961" w:type="dxa"/>
          </w:tcPr>
          <w:p w14:paraId="3D838B7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W przypadkach, o których mowa w ust. 2 pkt 2, liczba godzin nadliczbowych nie może przekroczyć 150 godzin w roku kalendarzowym.</w:t>
            </w:r>
          </w:p>
        </w:tc>
        <w:tc>
          <w:tcPr>
            <w:tcW w:w="9178" w:type="dxa"/>
          </w:tcPr>
          <w:p w14:paraId="7A8966AF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Nie ma uzasadnienia dla ograniczania liczby nadgodzin przy jednoczesnym ścisłym uregulowaniu dopuszczalnego czasu prowadzenia pojazdu lub pozostawania w gotowości oraz minimalnego czasu odpoczynku. Transport kolejowy cechuje duża zmienność w czasie i występowanie szczytów przewozowych (okres wakacyjny w przewozach pasażerskich lub okres grzewczy w przewozach towarowych). Możliwość pracy w godzinach nadliczbowych, przy zachowaniu rygorystycznych zasad dot. zapewnienia odpoczynku jest elementem optymalizującym efektywność zatrudnienia z jednej strony oraz możliwości zarobkowania przez pracowników z drugiej. </w:t>
            </w:r>
          </w:p>
        </w:tc>
      </w:tr>
      <w:tr w:rsidR="00726139" w:rsidRPr="00726139" w14:paraId="1FB0ADD6" w14:textId="77777777" w:rsidTr="003445D4">
        <w:tc>
          <w:tcPr>
            <w:tcW w:w="1555" w:type="dxa"/>
          </w:tcPr>
          <w:p w14:paraId="07D95408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Rozdział 4 i 5 </w:t>
            </w:r>
          </w:p>
        </w:tc>
        <w:tc>
          <w:tcPr>
            <w:tcW w:w="4961" w:type="dxa"/>
          </w:tcPr>
          <w:p w14:paraId="3779664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</w:p>
        </w:tc>
        <w:tc>
          <w:tcPr>
            <w:tcW w:w="9178" w:type="dxa"/>
          </w:tcPr>
          <w:p w14:paraId="4754EA6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Cały zbiór przepisów dotyczących ewidencjonowania i nadzoru nad czasem pracy powinien być skorelowany i bezpośrednio powiązany z planowanym do wdrożenia systemem Urzędu Transportu Kolejowego. Irracjonalne jest tworzenie dwu równoległych systemów o bardzo zbliżonym zakresie. W szczególności wejście w życie przepisów w zakresie ewidencjonowania i nadzoru powinno być zgrane w czasie z uruchomieniem systemu teleinformatycznego przez UTK. </w:t>
            </w:r>
          </w:p>
        </w:tc>
      </w:tr>
      <w:tr w:rsidR="00726139" w:rsidRPr="00726139" w14:paraId="215BFEAD" w14:textId="77777777" w:rsidTr="003445D4">
        <w:tc>
          <w:tcPr>
            <w:tcW w:w="1555" w:type="dxa"/>
          </w:tcPr>
          <w:p w14:paraId="5809A45C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 20</w:t>
            </w:r>
          </w:p>
        </w:tc>
        <w:tc>
          <w:tcPr>
            <w:tcW w:w="4961" w:type="dxa"/>
          </w:tcPr>
          <w:p w14:paraId="04F3516A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1. Pracodawca lub podmiot zatrudniający, który wbrew obowiązkowi określonemu w art. 16 ust. 2, nie dokonał za pośrednictwem systemu teleinformatycznego obsługującego krajowy rejestr maszynistów wprowadzenia danych do ewidencji, dokonał tego wprowadzenia z przekroczeniem terminu, lub wprowadził dane nieprawdziwe, podlega administracyjnej karze pieniężnej w wysokości do 2% jego rocznego </w:t>
            </w:r>
            <w:r w:rsidRPr="00726139">
              <w:rPr>
                <w:rFonts w:cstheme="minorBidi"/>
                <w:szCs w:val="22"/>
              </w:rPr>
              <w:lastRenderedPageBreak/>
              <w:t>przychodu, osiągniętego w poprzednim roku kalendarzowym.</w:t>
            </w:r>
          </w:p>
          <w:p w14:paraId="058709E1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2. Administracyjną karę pieniężną za naruszania, o których mowa w ust. 1, nakłada, w drodze decyzji, Prezes UTK.</w:t>
            </w:r>
          </w:p>
        </w:tc>
        <w:tc>
          <w:tcPr>
            <w:tcW w:w="9178" w:type="dxa"/>
          </w:tcPr>
          <w:p w14:paraId="2892C353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lastRenderedPageBreak/>
              <w:t xml:space="preserve">Kary wskazane w projekcie są niewspółmierne do wykroczeń. Proponowane zapisy mogą doprowadzić do absurdalnej sytuacji, kiedy spóźnienie lub błąd ludzki przy wprowadzaniu danych o zerowym wpływie na bezpieczeństwo systemu kolejowego będzie zagrożone karą sięgającą milionów złotych. Zwracamy uwagę, że podmiotem zagrożonym nałożeniem kary jest zarówno przewoźnik, zarządca infrastruktury jaki i inny podmiot np.: przedsiębiorstwo budowalne o szerszym niż kolejowe spectrum usług jak i np.: osoba fizyczna prowadząca działalność gospodarczą. Ponadto nie daje możliwości ukarania podmiotu który w roku ubiegłym nie uzyskał przychodu. </w:t>
            </w:r>
          </w:p>
        </w:tc>
      </w:tr>
      <w:tr w:rsidR="00726139" w:rsidRPr="00726139" w14:paraId="00D02112" w14:textId="77777777" w:rsidTr="003445D4">
        <w:tc>
          <w:tcPr>
            <w:tcW w:w="1555" w:type="dxa"/>
          </w:tcPr>
          <w:p w14:paraId="6145FD2D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Art. 25</w:t>
            </w:r>
          </w:p>
        </w:tc>
        <w:tc>
          <w:tcPr>
            <w:tcW w:w="4961" w:type="dxa"/>
          </w:tcPr>
          <w:p w14:paraId="550E8861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 xml:space="preserve">Ustawa wchodzi w życie po upływie 6 miesięcy od dnia ogłoszenia, z wyjątkiem art. 22 i art. 24, które wchodzą w życie po upływie 14 dni od dnia ogłoszenia.  </w:t>
            </w:r>
          </w:p>
        </w:tc>
        <w:tc>
          <w:tcPr>
            <w:tcW w:w="9178" w:type="dxa"/>
          </w:tcPr>
          <w:p w14:paraId="2992D3B2" w14:textId="77777777" w:rsidR="00726139" w:rsidRPr="00726139" w:rsidRDefault="00726139" w:rsidP="00726139">
            <w:pPr>
              <w:spacing w:after="0" w:line="240" w:lineRule="auto"/>
              <w:rPr>
                <w:rFonts w:cstheme="minorBidi"/>
                <w:szCs w:val="22"/>
              </w:rPr>
            </w:pPr>
            <w:r w:rsidRPr="00726139">
              <w:rPr>
                <w:rFonts w:cstheme="minorBidi"/>
                <w:szCs w:val="22"/>
              </w:rPr>
              <w:t>Vacatio legis dla tak daleko idących zmian powinno być dostosowane do faktycznych możliwości wprowadzenia zmian w organizacji pracy, ewidencji czasu pracy (w tym systemy informatyczne), a także terminu uruchomienia systemu przez UTK. Nie można dopuścić do sytuacji, kiedy wszystkie przepisy dotyczące nadzoru i ewidencji będą w praktyce martwe ze względu na brak narzędzi. Termin wejścia w życie powinien być odsunięty o co najmniej trzy lata i powinien być określony na dzień 1 stycznia ze względu na regulacje mające wpływ na rozliczanie czasu pracy.</w:t>
            </w:r>
          </w:p>
        </w:tc>
      </w:tr>
    </w:tbl>
    <w:p w14:paraId="4B915501" w14:textId="77777777" w:rsidR="00726139" w:rsidRPr="00726139" w:rsidRDefault="00726139" w:rsidP="00726139">
      <w:pPr>
        <w:rPr>
          <w:rFonts w:cstheme="minorBidi"/>
          <w:szCs w:val="22"/>
        </w:rPr>
      </w:pPr>
    </w:p>
    <w:p w14:paraId="4DE7C332" w14:textId="77777777" w:rsidR="00387AC3" w:rsidRPr="002D36D4" w:rsidRDefault="00387AC3" w:rsidP="00387AC3"/>
    <w:sectPr w:rsidR="00387AC3" w:rsidRPr="002D36D4" w:rsidSect="000D7935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34D"/>
    <w:multiLevelType w:val="hybridMultilevel"/>
    <w:tmpl w:val="DFF659D2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580029"/>
    <w:multiLevelType w:val="hybridMultilevel"/>
    <w:tmpl w:val="B95A2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D61"/>
    <w:multiLevelType w:val="hybridMultilevel"/>
    <w:tmpl w:val="D6E0F8CC"/>
    <w:lvl w:ilvl="0" w:tplc="41B0800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F71"/>
    <w:multiLevelType w:val="hybridMultilevel"/>
    <w:tmpl w:val="CC543EF8"/>
    <w:lvl w:ilvl="0" w:tplc="3F700324">
      <w:start w:val="1"/>
      <w:numFmt w:val="bullet"/>
      <w:pStyle w:val="Bezodstpw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874012"/>
    <w:multiLevelType w:val="hybridMultilevel"/>
    <w:tmpl w:val="1E7CDC3A"/>
    <w:lvl w:ilvl="0" w:tplc="30DE06E6">
      <w:start w:val="1"/>
      <w:numFmt w:val="bullet"/>
      <w:pStyle w:val="Nagwek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2CEF"/>
    <w:multiLevelType w:val="hybridMultilevel"/>
    <w:tmpl w:val="0A2467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5D76"/>
    <w:multiLevelType w:val="hybridMultilevel"/>
    <w:tmpl w:val="622CB26A"/>
    <w:lvl w:ilvl="0" w:tplc="10701158">
      <w:start w:val="1"/>
      <w:numFmt w:val="upperLetter"/>
      <w:pStyle w:val="Nagwek3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62D2359"/>
    <w:multiLevelType w:val="hybridMultilevel"/>
    <w:tmpl w:val="2BA0FEFC"/>
    <w:lvl w:ilvl="0" w:tplc="D0FA8682">
      <w:start w:val="1"/>
      <w:numFmt w:val="lowerRoman"/>
      <w:pStyle w:val="Nagwek5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6E3B"/>
    <w:multiLevelType w:val="hybridMultilevel"/>
    <w:tmpl w:val="C23E4F8C"/>
    <w:lvl w:ilvl="0" w:tplc="30F69B5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3C1"/>
    <w:multiLevelType w:val="hybridMultilevel"/>
    <w:tmpl w:val="8C8C4FC8"/>
    <w:lvl w:ilvl="0" w:tplc="33E660EC">
      <w:start w:val="1"/>
      <w:numFmt w:val="lowerRoman"/>
      <w:pStyle w:val="Nagwek4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MTQzsTQ0sjSzNDZV0lEKTi0uzszPAykwqwUAoJ3i1SwAAAA="/>
  </w:docVars>
  <w:rsids>
    <w:rsidRoot w:val="00373A94"/>
    <w:rsid w:val="000A79E9"/>
    <w:rsid w:val="002D36D4"/>
    <w:rsid w:val="00373A94"/>
    <w:rsid w:val="00387AC3"/>
    <w:rsid w:val="003E1A24"/>
    <w:rsid w:val="005C7A06"/>
    <w:rsid w:val="00707D42"/>
    <w:rsid w:val="007220B1"/>
    <w:rsid w:val="00726139"/>
    <w:rsid w:val="008A52FD"/>
    <w:rsid w:val="0094415A"/>
    <w:rsid w:val="00AB4B7E"/>
    <w:rsid w:val="00BB4A73"/>
    <w:rsid w:val="00F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004"/>
  <w15:chartTrackingRefBased/>
  <w15:docId w15:val="{AD60B1F7-0EC5-4126-8122-6EE38013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24"/>
    <w:pPr>
      <w:spacing w:after="120" w:line="30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15A"/>
    <w:pPr>
      <w:keepNext/>
      <w:keepLines/>
      <w:numPr>
        <w:numId w:val="1"/>
      </w:numPr>
      <w:spacing w:before="120"/>
      <w:ind w:left="567" w:hanging="567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15A"/>
    <w:pPr>
      <w:keepNext/>
      <w:keepLines/>
      <w:numPr>
        <w:numId w:val="2"/>
      </w:numPr>
      <w:ind w:left="1134" w:hanging="567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15A"/>
    <w:pPr>
      <w:keepNext/>
      <w:keepLines/>
      <w:numPr>
        <w:numId w:val="6"/>
      </w:numPr>
      <w:ind w:left="1701" w:hanging="567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15A"/>
    <w:pPr>
      <w:keepNext/>
      <w:keepLines/>
      <w:numPr>
        <w:numId w:val="7"/>
      </w:numPr>
      <w:ind w:left="2268" w:hanging="567"/>
      <w:outlineLvl w:val="3"/>
    </w:pPr>
    <w:rPr>
      <w:rFonts w:eastAsiaTheme="majorEastAsia" w:cstheme="majorBidi"/>
      <w:i/>
      <w:iCs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36D4"/>
    <w:pPr>
      <w:keepNext/>
      <w:keepLines/>
      <w:numPr>
        <w:numId w:val="9"/>
      </w:numPr>
      <w:ind w:left="2268" w:hanging="567"/>
      <w:outlineLvl w:val="4"/>
    </w:pPr>
    <w:rPr>
      <w:rFonts w:eastAsiaTheme="majorEastAsia"/>
    </w:rPr>
  </w:style>
  <w:style w:type="paragraph" w:styleId="Nagwek6">
    <w:name w:val="heading 6"/>
    <w:aliases w:val="bullet"/>
    <w:basedOn w:val="Normalny"/>
    <w:link w:val="Nagwek6Znak"/>
    <w:uiPriority w:val="9"/>
    <w:unhideWhenUsed/>
    <w:qFormat/>
    <w:rsid w:val="002D36D4"/>
    <w:pPr>
      <w:keepNext/>
      <w:keepLines/>
      <w:numPr>
        <w:numId w:val="10"/>
      </w:numPr>
      <w:spacing w:before="40"/>
      <w:ind w:left="1134" w:hanging="567"/>
      <w:outlineLvl w:val="5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15A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15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15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15A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D36D4"/>
    <w:rPr>
      <w:rFonts w:ascii="Times New Roman" w:eastAsiaTheme="majorEastAsia" w:hAnsi="Times New Roman" w:cs="Times New Roman"/>
      <w:sz w:val="24"/>
      <w:szCs w:val="24"/>
    </w:rPr>
  </w:style>
  <w:style w:type="paragraph" w:styleId="Bezodstpw">
    <w:name w:val="No Spacing"/>
    <w:aliases w:val="wypunktowanie"/>
    <w:basedOn w:val="Normalny"/>
    <w:uiPriority w:val="1"/>
    <w:rsid w:val="002D36D4"/>
    <w:pPr>
      <w:numPr>
        <w:numId w:val="8"/>
      </w:numPr>
      <w:ind w:left="924" w:hanging="357"/>
    </w:pPr>
    <w:rPr>
      <w:rFonts w:cstheme="minorBidi"/>
      <w:szCs w:val="22"/>
    </w:rPr>
  </w:style>
  <w:style w:type="character" w:customStyle="1" w:styleId="Nagwek6Znak">
    <w:name w:val="Nagłówek 6 Znak"/>
    <w:aliases w:val="bullet Znak"/>
    <w:basedOn w:val="Domylnaczcionkaakapitu"/>
    <w:link w:val="Nagwek6"/>
    <w:uiPriority w:val="9"/>
    <w:rsid w:val="002D36D4"/>
    <w:rPr>
      <w:rFonts w:ascii="Times New Roman" w:eastAsiaTheme="majorEastAsia" w:hAnsi="Times New Roman" w:cs="Times New Roman"/>
      <w:sz w:val="24"/>
      <w:szCs w:val="24"/>
    </w:rPr>
  </w:style>
  <w:style w:type="table" w:styleId="Tabela-Siatka">
    <w:name w:val="Table Grid"/>
    <w:basedOn w:val="Standardowy"/>
    <w:rsid w:val="0072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2959</Words>
  <Characters>17758</Characters>
  <Application>Microsoft Office Word</Application>
  <DocSecurity>0</DocSecurity>
  <Lines>147</Lines>
  <Paragraphs>41</Paragraphs>
  <ScaleCrop>false</ScaleCrop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Gładyga</dc:creator>
  <cp:keywords/>
  <dc:description/>
  <cp:lastModifiedBy>Maciej Gładyga</cp:lastModifiedBy>
  <cp:revision>8</cp:revision>
  <dcterms:created xsi:type="dcterms:W3CDTF">2020-10-26T09:39:00Z</dcterms:created>
  <dcterms:modified xsi:type="dcterms:W3CDTF">2020-10-26T13:44:00Z</dcterms:modified>
</cp:coreProperties>
</file>