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0" w:rsidRPr="00310387" w:rsidRDefault="00075659" w:rsidP="00075659">
      <w:pPr>
        <w:spacing w:before="0"/>
        <w:jc w:val="right"/>
      </w:pPr>
      <w:r w:rsidRPr="00310387">
        <w:t xml:space="preserve">Warszawa, </w:t>
      </w:r>
      <w:r w:rsidR="00B71823">
        <w:t xml:space="preserve">5 września </w:t>
      </w:r>
      <w:r w:rsidR="00DD1DDB">
        <w:t>2018</w:t>
      </w:r>
      <w:r w:rsidRPr="00310387">
        <w:t xml:space="preserve"> r.</w:t>
      </w:r>
    </w:p>
    <w:p w:rsidR="00075659" w:rsidRPr="00BC5344" w:rsidRDefault="00B71823" w:rsidP="00075659">
      <w:pPr>
        <w:spacing w:before="0"/>
        <w:outlineLvl w:val="0"/>
        <w:rPr>
          <w:b/>
        </w:rPr>
      </w:pPr>
      <w:r>
        <w:rPr>
          <w:b/>
        </w:rPr>
        <w:t>Izba Gospodarcza</w:t>
      </w:r>
      <w:r w:rsidR="00075659" w:rsidRPr="00BC5344">
        <w:rPr>
          <w:b/>
        </w:rPr>
        <w:t xml:space="preserve"> Transportu Lądowego</w:t>
      </w:r>
    </w:p>
    <w:p w:rsidR="00310387" w:rsidRPr="00BC5344" w:rsidRDefault="00310387" w:rsidP="00075659">
      <w:pPr>
        <w:spacing w:before="0"/>
        <w:outlineLvl w:val="0"/>
        <w:rPr>
          <w:b/>
          <w:i/>
          <w:sz w:val="20"/>
        </w:rPr>
      </w:pPr>
      <w:r w:rsidRPr="00BC5344">
        <w:rPr>
          <w:b/>
          <w:i/>
          <w:sz w:val="20"/>
        </w:rPr>
        <w:t>IGTL/</w:t>
      </w:r>
      <w:r w:rsidR="00B71823">
        <w:rPr>
          <w:b/>
          <w:i/>
          <w:sz w:val="20"/>
        </w:rPr>
        <w:tab/>
      </w:r>
      <w:r w:rsidR="00B71823">
        <w:rPr>
          <w:b/>
          <w:i/>
          <w:sz w:val="20"/>
        </w:rPr>
        <w:tab/>
      </w:r>
      <w:r w:rsidR="00B71823">
        <w:rPr>
          <w:b/>
          <w:i/>
          <w:sz w:val="20"/>
        </w:rPr>
        <w:tab/>
      </w:r>
      <w:r w:rsidR="00D11C6D">
        <w:rPr>
          <w:b/>
          <w:i/>
          <w:sz w:val="20"/>
        </w:rPr>
        <w:t>2018</w:t>
      </w:r>
    </w:p>
    <w:p w:rsidR="00075659" w:rsidRPr="00310387" w:rsidRDefault="00075659" w:rsidP="00075659">
      <w:pPr>
        <w:spacing w:before="0"/>
        <w:jc w:val="right"/>
        <w:outlineLvl w:val="0"/>
        <w:rPr>
          <w:b/>
        </w:rPr>
      </w:pPr>
    </w:p>
    <w:p w:rsidR="00FF194C" w:rsidRPr="00310387" w:rsidRDefault="00075659" w:rsidP="00075659">
      <w:pPr>
        <w:spacing w:before="0"/>
        <w:jc w:val="right"/>
        <w:outlineLvl w:val="0"/>
        <w:rPr>
          <w:b/>
        </w:rPr>
      </w:pPr>
      <w:r w:rsidRPr="00310387">
        <w:rPr>
          <w:b/>
        </w:rPr>
        <w:t xml:space="preserve">Pan </w:t>
      </w:r>
      <w:r w:rsidRPr="00310387">
        <w:rPr>
          <w:b/>
        </w:rPr>
        <w:tab/>
      </w:r>
      <w:r w:rsidRPr="00310387">
        <w:rPr>
          <w:b/>
        </w:rPr>
        <w:tab/>
      </w:r>
      <w:r w:rsidRPr="00310387">
        <w:rPr>
          <w:b/>
        </w:rPr>
        <w:tab/>
      </w:r>
      <w:r w:rsidR="00B71823">
        <w:rPr>
          <w:b/>
        </w:rPr>
        <w:tab/>
      </w:r>
      <w:r w:rsidRPr="00310387">
        <w:rPr>
          <w:b/>
        </w:rPr>
        <w:tab/>
      </w:r>
    </w:p>
    <w:p w:rsidR="00B71823" w:rsidRDefault="00B71823" w:rsidP="00B71823">
      <w:pPr>
        <w:spacing w:before="0"/>
        <w:jc w:val="right"/>
        <w:outlineLvl w:val="0"/>
        <w:rPr>
          <w:b/>
        </w:rPr>
      </w:pPr>
      <w:r w:rsidRPr="009451C6">
        <w:rPr>
          <w:b/>
        </w:rPr>
        <w:t>Nadinspektor Piotr Walczak</w:t>
      </w:r>
      <w:r>
        <w:rPr>
          <w:b/>
        </w:rPr>
        <w:t xml:space="preserve"> </w:t>
      </w:r>
      <w:r>
        <w:rPr>
          <w:b/>
        </w:rPr>
        <w:tab/>
      </w:r>
    </w:p>
    <w:p w:rsidR="00B71823" w:rsidRPr="00B71823" w:rsidRDefault="00B71823" w:rsidP="00B71823">
      <w:pPr>
        <w:spacing w:before="0"/>
        <w:jc w:val="right"/>
        <w:outlineLvl w:val="0"/>
      </w:pPr>
      <w:r w:rsidRPr="00B71823">
        <w:t xml:space="preserve">Zastępca Szefa </w:t>
      </w:r>
      <w:r>
        <w:tab/>
      </w:r>
      <w:r>
        <w:tab/>
      </w:r>
      <w:r w:rsidRPr="00B71823">
        <w:tab/>
      </w:r>
    </w:p>
    <w:p w:rsidR="00B71823" w:rsidRPr="00B71823" w:rsidRDefault="00B71823" w:rsidP="00B71823">
      <w:pPr>
        <w:spacing w:before="0"/>
        <w:jc w:val="right"/>
        <w:outlineLvl w:val="0"/>
      </w:pPr>
      <w:r w:rsidRPr="00B71823">
        <w:t>Krajowej Administracji Skarbowej</w:t>
      </w:r>
      <w:r w:rsidRPr="00B71823">
        <w:tab/>
      </w:r>
    </w:p>
    <w:p w:rsidR="00B71823" w:rsidRPr="00B71823" w:rsidRDefault="00B71823" w:rsidP="00B71823">
      <w:pPr>
        <w:spacing w:before="0"/>
        <w:jc w:val="right"/>
        <w:outlineLvl w:val="0"/>
      </w:pPr>
      <w:r>
        <w:t>Podsekretarz Stanu</w:t>
      </w:r>
      <w:r>
        <w:tab/>
      </w:r>
      <w:r>
        <w:tab/>
      </w:r>
      <w:r w:rsidRPr="00B71823">
        <w:tab/>
      </w:r>
    </w:p>
    <w:p w:rsidR="00075659" w:rsidRPr="00310387" w:rsidRDefault="00B71823" w:rsidP="00B71823">
      <w:pPr>
        <w:spacing w:before="0"/>
        <w:jc w:val="right"/>
        <w:outlineLvl w:val="0"/>
        <w:rPr>
          <w:b/>
        </w:rPr>
      </w:pPr>
      <w:r w:rsidRPr="00B71823">
        <w:t>Ministerstwo Finansów</w:t>
      </w:r>
      <w:r>
        <w:rPr>
          <w:b/>
        </w:rPr>
        <w:t xml:space="preserve"> </w:t>
      </w:r>
      <w:r>
        <w:rPr>
          <w:b/>
        </w:rPr>
        <w:tab/>
      </w:r>
      <w:r w:rsidR="00075659" w:rsidRPr="00310387">
        <w:rPr>
          <w:b/>
        </w:rPr>
        <w:tab/>
      </w:r>
    </w:p>
    <w:p w:rsidR="00B71823" w:rsidRDefault="00B71823" w:rsidP="00FC6BE3">
      <w:pPr>
        <w:outlineLvl w:val="0"/>
      </w:pPr>
    </w:p>
    <w:p w:rsidR="00B71823" w:rsidRDefault="00B71823" w:rsidP="00FC6BE3">
      <w:pPr>
        <w:outlineLvl w:val="0"/>
      </w:pPr>
      <w:bookmarkStart w:id="0" w:name="_GoBack"/>
      <w:bookmarkEnd w:id="0"/>
    </w:p>
    <w:p w:rsidR="00B71823" w:rsidRDefault="00B71823" w:rsidP="00B71823">
      <w:pPr>
        <w:rPr>
          <w:color w:val="000000"/>
        </w:rPr>
      </w:pPr>
      <w:r>
        <w:rPr>
          <w:color w:val="000000"/>
        </w:rPr>
        <w:t xml:space="preserve">w odpowiedzi na zaproszenie do konsultacji publicznych </w:t>
      </w:r>
      <w:r w:rsidRPr="00B71823">
        <w:rPr>
          <w:color w:val="000000"/>
        </w:rPr>
        <w:t>projekt</w:t>
      </w:r>
      <w:r>
        <w:rPr>
          <w:color w:val="000000"/>
        </w:rPr>
        <w:t>u</w:t>
      </w:r>
      <w:r w:rsidRPr="00B71823">
        <w:rPr>
          <w:color w:val="000000"/>
        </w:rPr>
        <w:t xml:space="preserve"> rozporządzenia Ministra Finansów w sprawie</w:t>
      </w:r>
      <w:r>
        <w:rPr>
          <w:color w:val="000000"/>
        </w:rPr>
        <w:t xml:space="preserve"> </w:t>
      </w:r>
      <w:r w:rsidRPr="00B71823">
        <w:rPr>
          <w:color w:val="000000"/>
        </w:rPr>
        <w:t>zgłoszeń przewozu towarów (nr w wykazie prac Ministerstwa Finansów 735)</w:t>
      </w:r>
      <w:r>
        <w:rPr>
          <w:color w:val="000000"/>
        </w:rPr>
        <w:t xml:space="preserve">Izba Gospodarcza Transportu Lądowego zgłasza </w:t>
      </w:r>
      <w:r>
        <w:rPr>
          <w:color w:val="000000"/>
        </w:rPr>
        <w:t>następujące uwagi, które zostały</w:t>
      </w:r>
      <w:r>
        <w:rPr>
          <w:color w:val="000000"/>
        </w:rPr>
        <w:t xml:space="preserve"> przekazane </w:t>
      </w:r>
      <w:r>
        <w:rPr>
          <w:color w:val="000000"/>
        </w:rPr>
        <w:t xml:space="preserve">w wersji elektronicznej 5. </w:t>
      </w:r>
    </w:p>
    <w:p w:rsidR="00B71823" w:rsidRDefault="00B71823" w:rsidP="00B71823">
      <w:pPr>
        <w:rPr>
          <w:color w:val="000000"/>
        </w:rPr>
      </w:pPr>
      <w:r>
        <w:rPr>
          <w:color w:val="000000"/>
        </w:rPr>
        <w:t xml:space="preserve">Konieczne jest bezwzględnie zapewnienie podmiotom wyłączonym z obowiązku stosowania </w:t>
      </w:r>
      <w:proofErr w:type="spellStart"/>
      <w:r>
        <w:rPr>
          <w:color w:val="000000"/>
        </w:rPr>
        <w:t>geolokalizatorów</w:t>
      </w:r>
      <w:proofErr w:type="spellEnd"/>
      <w:r>
        <w:rPr>
          <w:color w:val="000000"/>
        </w:rPr>
        <w:t xml:space="preserve"> (transport kolejowy) możliwości pozostawienia pustego pola dotyczącego numeru urządzenia albo wpisania wartości „nie dotyczy” bez odczytywania przez system sytuacji nieprawidłowego wpisu lub nie w pełni wypełnionego formularza. </w:t>
      </w:r>
    </w:p>
    <w:p w:rsidR="00B71823" w:rsidRDefault="00B71823" w:rsidP="00B71823">
      <w:pPr>
        <w:rPr>
          <w:color w:val="000000"/>
        </w:rPr>
      </w:pPr>
      <w:r>
        <w:rPr>
          <w:color w:val="000000"/>
        </w:rPr>
        <w:t xml:space="preserve">W rozporządzeniu podaje się (art. 9 ust.1 i 3) , że w przypadku niedostępności rejestru zgłoszeń polegającej na awarii lub przerwie technicznej rejestru zgłoszeń odpowiednio podmiot wysyłający, podmiot odbierający albo przewoźnik </w:t>
      </w:r>
      <w:r>
        <w:rPr>
          <w:color w:val="000000"/>
          <w:u w:val="single"/>
        </w:rPr>
        <w:t>zgłasza lub aktualizuje zgłoszenie</w:t>
      </w:r>
      <w:r>
        <w:rPr>
          <w:color w:val="000000"/>
        </w:rPr>
        <w:t xml:space="preserve">, przesyłając dokument zastępujący zgłoszenie zawierający </w:t>
      </w:r>
      <w:r>
        <w:rPr>
          <w:color w:val="000000"/>
        </w:rPr>
        <w:t>numer referencyjny zgłoszenia i </w:t>
      </w:r>
      <w:r>
        <w:rPr>
          <w:color w:val="000000"/>
        </w:rPr>
        <w:t xml:space="preserve">dane wskazane przez niego w zgłoszeniu – na adres </w:t>
      </w:r>
      <w:hyperlink r:id="rId8" w:history="1">
        <w:r>
          <w:rPr>
            <w:rStyle w:val="Hipercze"/>
          </w:rPr>
          <w:t>awaria.sent@mf.gov.pl</w:t>
        </w:r>
      </w:hyperlink>
      <w:r>
        <w:rPr>
          <w:color w:val="000000"/>
        </w:rPr>
        <w:t>.</w:t>
      </w:r>
      <w:r>
        <w:rPr>
          <w:color w:val="000000"/>
        </w:rPr>
        <w:t xml:space="preserve"> Jednocześnie w </w:t>
      </w:r>
      <w:r>
        <w:rPr>
          <w:color w:val="000000"/>
        </w:rPr>
        <w:t xml:space="preserve">art. 11 ustawodawca podaje, że Organem właściwym, do którego jest </w:t>
      </w:r>
      <w:r>
        <w:rPr>
          <w:color w:val="000000"/>
          <w:u w:val="single"/>
        </w:rPr>
        <w:t xml:space="preserve">przesyłane zgłoszenie </w:t>
      </w:r>
      <w:r>
        <w:rPr>
          <w:color w:val="000000"/>
        </w:rPr>
        <w:t>w przypadku niedostępności rejestru zgłoszeń, jest Dyrektor</w:t>
      </w:r>
      <w:r>
        <w:rPr>
          <w:color w:val="000000"/>
        </w:rPr>
        <w:t xml:space="preserve"> Izby Administracji Skarbowej w </w:t>
      </w:r>
      <w:r>
        <w:rPr>
          <w:color w:val="000000"/>
        </w:rPr>
        <w:t xml:space="preserve">Zielonej Górze (ustawodawca podkreśla proces przesyłania zgłoszenia, nie wskazuje tego adresu w przypadku aktualizacji zgłoszenia). Jak należy to interpretować wskazanie? Czy to oznacza, że wskazywany przez ustawodawcę adres mailowy jest zarządzany przez Dyrektora Izby Administracji Skarbowej w Zielonej Górze, czy może w przypadku awarii rejestru zgłoszeń nie działa również adres </w:t>
      </w:r>
      <w:hyperlink r:id="rId9" w:history="1">
        <w:r>
          <w:rPr>
            <w:rStyle w:val="Hipercze"/>
          </w:rPr>
          <w:t>awaria.sent@mf.gov.pl</w:t>
        </w:r>
      </w:hyperlink>
      <w:r>
        <w:rPr>
          <w:color w:val="000000"/>
        </w:rPr>
        <w:t>? Uprzejmie p</w:t>
      </w:r>
      <w:r>
        <w:rPr>
          <w:color w:val="000000"/>
        </w:rPr>
        <w:t>roszę o wskazanie prawidłowej interpretacji tych przepisów.</w:t>
      </w:r>
    </w:p>
    <w:p w:rsidR="00310387" w:rsidRPr="00310387" w:rsidRDefault="00310387" w:rsidP="00FC6BE3">
      <w:pPr>
        <w:outlineLvl w:val="0"/>
      </w:pPr>
    </w:p>
    <w:sectPr w:rsidR="00310387" w:rsidRPr="00310387" w:rsidSect="00011EC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08" w:rsidRDefault="00997C08">
      <w:r>
        <w:separator/>
      </w:r>
    </w:p>
  </w:endnote>
  <w:endnote w:type="continuationSeparator" w:id="0">
    <w:p w:rsidR="00997C08" w:rsidRDefault="0099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4" w:rsidRDefault="00BC53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2912745</wp:posOffset>
              </wp:positionH>
              <wp:positionV relativeFrom="paragraph">
                <wp:posOffset>-198755</wp:posOffset>
              </wp:positionV>
              <wp:extent cx="720090" cy="360045"/>
              <wp:effectExtent l="0" t="0" r="381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6B4" w:rsidRDefault="005A10E8" w:rsidP="000115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18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35pt;margin-top:-15.6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ugQIAAA4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" stroked="f">
              <v:textbox>
                <w:txbxContent>
                  <w:p w:rsidR="002776B4" w:rsidRDefault="005A10E8" w:rsidP="0001157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18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B4" w:rsidRDefault="00BC5344">
    <w:pPr>
      <w:pStyle w:val="Stopka"/>
    </w:pPr>
    <w:r w:rsidRPr="00310AF5">
      <w:rPr>
        <w:noProof/>
      </w:rPr>
      <w:drawing>
        <wp:inline distT="0" distB="0" distL="0" distR="0">
          <wp:extent cx="4477385" cy="733425"/>
          <wp:effectExtent l="0" t="0" r="0" b="0"/>
          <wp:docPr id="1" name="Obraz 0" descr="IGTL-footer-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GTL-footer-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08" w:rsidRDefault="00997C08">
      <w:r>
        <w:separator/>
      </w:r>
    </w:p>
  </w:footnote>
  <w:footnote w:type="continuationSeparator" w:id="0">
    <w:p w:rsidR="00997C08" w:rsidRDefault="0099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8" w:rsidRDefault="009849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single" w:sz="18" w:space="0" w:color="2E74B5" w:themeColor="accent1" w:themeShade="BF"/>
        <w:insideH w:val="none" w:sz="0" w:space="0" w:color="auto"/>
        <w:insideV w:val="single" w:sz="18" w:space="0" w:color="2E74B5" w:themeColor="accent1" w:themeShade="BF"/>
      </w:tblBorders>
      <w:tblLook w:val="04A0" w:firstRow="1" w:lastRow="0" w:firstColumn="1" w:lastColumn="0" w:noHBand="0" w:noVBand="1"/>
    </w:tblPr>
    <w:tblGrid>
      <w:gridCol w:w="1843"/>
      <w:gridCol w:w="2410"/>
      <w:gridCol w:w="2551"/>
    </w:tblGrid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Prezes Izby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Wiceprezesi Izby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Członkowie Zarządu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Marita Szustak 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Przemysław Korwiel 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Andrzej Kwiek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Piotr Macioszek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Ryszard Leszczyński 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Wiesław Nowak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FC1A24" w:rsidP="00016C7C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Henryk Pi</w:t>
          </w:r>
          <w:r w:rsidR="00016C7C">
            <w:rPr>
              <w:rFonts w:ascii="Arial" w:hAnsi="Arial" w:cs="Arial"/>
              <w:i/>
              <w:color w:val="2E74B5" w:themeColor="accent1" w:themeShade="BF"/>
              <w:sz w:val="18"/>
            </w:rPr>
            <w:t>ń</w:t>
          </w:r>
          <w:r w:rsidR="00094D47"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kowski</w:t>
          </w:r>
        </w:p>
      </w:tc>
    </w:tr>
  </w:tbl>
  <w:p w:rsidR="002776B4" w:rsidRDefault="00094D47" w:rsidP="00094D47">
    <w:pPr>
      <w:spacing w:before="0" w:line="240" w:lineRule="auto"/>
    </w:pPr>
    <w:r w:rsidRPr="006C0E77">
      <w:rPr>
        <w:rFonts w:ascii="Arial" w:hAnsi="Arial" w:cs="Arial"/>
        <w:noProof/>
        <w:color w:val="2E74B5" w:themeColor="accent1" w:themeShade="BF"/>
        <w:sz w:val="22"/>
      </w:rPr>
      <w:drawing>
        <wp:anchor distT="0" distB="0" distL="114300" distR="114300" simplePos="0" relativeHeight="251658240" behindDoc="0" locked="0" layoutInCell="1" allowOverlap="1" wp14:anchorId="7DB21052" wp14:editId="33291785">
          <wp:simplePos x="0" y="0"/>
          <wp:positionH relativeFrom="margin">
            <wp:posOffset>4479925</wp:posOffset>
          </wp:positionH>
          <wp:positionV relativeFrom="paragraph">
            <wp:posOffset>-998220</wp:posOffset>
          </wp:positionV>
          <wp:extent cx="1280795" cy="1124585"/>
          <wp:effectExtent l="0" t="0" r="0" b="0"/>
          <wp:wrapThrough wrapText="bothSides">
            <wp:wrapPolygon edited="0">
              <wp:start x="0" y="0"/>
              <wp:lineTo x="0" y="21222"/>
              <wp:lineTo x="21204" y="21222"/>
              <wp:lineTo x="21204" y="0"/>
              <wp:lineTo x="0" y="0"/>
            </wp:wrapPolygon>
          </wp:wrapThrough>
          <wp:docPr id="2" name="Obraz 24" descr="C:\Users\SharkIT\AppData\Local\Microsoft\Windows\INetCache\Content.Word\IGT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SharkIT\AppData\Local\Microsoft\Windows\INetCache\Content.Word\IGT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E77">
      <w:rPr>
        <w:rFonts w:ascii="Arial" w:hAnsi="Arial" w:cs="Arial"/>
        <w:noProof/>
        <w:color w:val="2E74B5" w:themeColor="accent1" w:themeShade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32"/>
    <w:multiLevelType w:val="hybridMultilevel"/>
    <w:tmpl w:val="6CF8BEA8"/>
    <w:lvl w:ilvl="0" w:tplc="B5B6B2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7F90"/>
    <w:multiLevelType w:val="hybridMultilevel"/>
    <w:tmpl w:val="05C6D5F2"/>
    <w:lvl w:ilvl="0" w:tplc="2D78AB34">
      <w:start w:val="1"/>
      <w:numFmt w:val="decimal"/>
      <w:lvlText w:val="%1)"/>
      <w:lvlJc w:val="left"/>
      <w:pPr>
        <w:ind w:left="190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794D91"/>
    <w:multiLevelType w:val="hybridMultilevel"/>
    <w:tmpl w:val="16FC3B00"/>
    <w:lvl w:ilvl="0" w:tplc="DC1CD64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B4B64"/>
    <w:multiLevelType w:val="hybridMultilevel"/>
    <w:tmpl w:val="443C1FD8"/>
    <w:lvl w:ilvl="0" w:tplc="911A2148">
      <w:start w:val="1"/>
      <w:numFmt w:val="decimal"/>
      <w:lvlText w:val="%1."/>
      <w:lvlJc w:val="left"/>
      <w:pPr>
        <w:ind w:left="1429" w:hanging="360"/>
      </w:pPr>
      <w:rPr>
        <w:b/>
        <w:i w:val="0"/>
        <w:sz w:val="22"/>
        <w:szCs w:val="22"/>
      </w:rPr>
    </w:lvl>
    <w:lvl w:ilvl="1" w:tplc="2444CA34">
      <w:start w:val="1"/>
      <w:numFmt w:val="decimal"/>
      <w:lvlText w:val="%2."/>
      <w:lvlJc w:val="left"/>
      <w:pPr>
        <w:ind w:left="2149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8790FEB2">
      <w:start w:val="1"/>
      <w:numFmt w:val="lowerLetter"/>
      <w:lvlText w:val="%3)"/>
      <w:lvlJc w:val="left"/>
      <w:pPr>
        <w:ind w:left="2869" w:hanging="18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E6F4A"/>
    <w:multiLevelType w:val="hybridMultilevel"/>
    <w:tmpl w:val="83D4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606E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127"/>
    <w:multiLevelType w:val="hybridMultilevel"/>
    <w:tmpl w:val="7AAA3C40"/>
    <w:lvl w:ilvl="0" w:tplc="535AF3A4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6E87BFA"/>
    <w:multiLevelType w:val="hybridMultilevel"/>
    <w:tmpl w:val="FE0E1BFA"/>
    <w:lvl w:ilvl="0" w:tplc="9BC69A1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542DB2"/>
    <w:multiLevelType w:val="hybridMultilevel"/>
    <w:tmpl w:val="EECCB51C"/>
    <w:lvl w:ilvl="0" w:tplc="0858521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5386E"/>
    <w:multiLevelType w:val="hybridMultilevel"/>
    <w:tmpl w:val="E35A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8F16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4034"/>
    <w:multiLevelType w:val="hybridMultilevel"/>
    <w:tmpl w:val="EE32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499E"/>
    <w:multiLevelType w:val="hybridMultilevel"/>
    <w:tmpl w:val="B77CC13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23"/>
    <w:rsid w:val="00011573"/>
    <w:rsid w:val="00011EC2"/>
    <w:rsid w:val="00012533"/>
    <w:rsid w:val="00016C7C"/>
    <w:rsid w:val="000650EA"/>
    <w:rsid w:val="00075659"/>
    <w:rsid w:val="00094D47"/>
    <w:rsid w:val="000D0D7C"/>
    <w:rsid w:val="0011651B"/>
    <w:rsid w:val="0013326E"/>
    <w:rsid w:val="00140292"/>
    <w:rsid w:val="00141C45"/>
    <w:rsid w:val="00155C17"/>
    <w:rsid w:val="00181DD1"/>
    <w:rsid w:val="001872DB"/>
    <w:rsid w:val="001D62BF"/>
    <w:rsid w:val="001E6D6A"/>
    <w:rsid w:val="002776B4"/>
    <w:rsid w:val="00296F98"/>
    <w:rsid w:val="002A79A9"/>
    <w:rsid w:val="002B4D2C"/>
    <w:rsid w:val="00310387"/>
    <w:rsid w:val="003E3D66"/>
    <w:rsid w:val="003F5CAC"/>
    <w:rsid w:val="0041037D"/>
    <w:rsid w:val="00412F03"/>
    <w:rsid w:val="00422160"/>
    <w:rsid w:val="00451D10"/>
    <w:rsid w:val="00453665"/>
    <w:rsid w:val="00460321"/>
    <w:rsid w:val="00485F22"/>
    <w:rsid w:val="00537306"/>
    <w:rsid w:val="00541165"/>
    <w:rsid w:val="00550CD9"/>
    <w:rsid w:val="005605F5"/>
    <w:rsid w:val="00564431"/>
    <w:rsid w:val="00567FF4"/>
    <w:rsid w:val="00575F69"/>
    <w:rsid w:val="005822C9"/>
    <w:rsid w:val="00585C1F"/>
    <w:rsid w:val="005A10E8"/>
    <w:rsid w:val="00604930"/>
    <w:rsid w:val="0063457F"/>
    <w:rsid w:val="00642E69"/>
    <w:rsid w:val="00651355"/>
    <w:rsid w:val="006A1735"/>
    <w:rsid w:val="006C0E77"/>
    <w:rsid w:val="006F2969"/>
    <w:rsid w:val="00717C8E"/>
    <w:rsid w:val="00757CB2"/>
    <w:rsid w:val="0076282B"/>
    <w:rsid w:val="00766625"/>
    <w:rsid w:val="007738A5"/>
    <w:rsid w:val="007742D4"/>
    <w:rsid w:val="007758B2"/>
    <w:rsid w:val="0077628C"/>
    <w:rsid w:val="007A5D2D"/>
    <w:rsid w:val="007D5414"/>
    <w:rsid w:val="007D7371"/>
    <w:rsid w:val="007E565B"/>
    <w:rsid w:val="0085784A"/>
    <w:rsid w:val="00871AE9"/>
    <w:rsid w:val="00886338"/>
    <w:rsid w:val="008926E9"/>
    <w:rsid w:val="008A444C"/>
    <w:rsid w:val="008E644D"/>
    <w:rsid w:val="00963618"/>
    <w:rsid w:val="009706F1"/>
    <w:rsid w:val="00981967"/>
    <w:rsid w:val="009849C8"/>
    <w:rsid w:val="00997C08"/>
    <w:rsid w:val="009E4174"/>
    <w:rsid w:val="009F376C"/>
    <w:rsid w:val="00A17C60"/>
    <w:rsid w:val="00A20FEF"/>
    <w:rsid w:val="00A50A97"/>
    <w:rsid w:val="00A54120"/>
    <w:rsid w:val="00A85E16"/>
    <w:rsid w:val="00A87DE1"/>
    <w:rsid w:val="00A9387D"/>
    <w:rsid w:val="00AA76D0"/>
    <w:rsid w:val="00AB122C"/>
    <w:rsid w:val="00AB5DD7"/>
    <w:rsid w:val="00AF1725"/>
    <w:rsid w:val="00B10BD2"/>
    <w:rsid w:val="00B26B26"/>
    <w:rsid w:val="00B43EE8"/>
    <w:rsid w:val="00B53BB1"/>
    <w:rsid w:val="00B71315"/>
    <w:rsid w:val="00B71823"/>
    <w:rsid w:val="00B7364E"/>
    <w:rsid w:val="00BC5344"/>
    <w:rsid w:val="00BC623E"/>
    <w:rsid w:val="00BF25A6"/>
    <w:rsid w:val="00C058FC"/>
    <w:rsid w:val="00C133B0"/>
    <w:rsid w:val="00C87AD1"/>
    <w:rsid w:val="00CA40A4"/>
    <w:rsid w:val="00CC12E2"/>
    <w:rsid w:val="00D11C6D"/>
    <w:rsid w:val="00D14CE5"/>
    <w:rsid w:val="00D2304D"/>
    <w:rsid w:val="00D23CFF"/>
    <w:rsid w:val="00D44DEA"/>
    <w:rsid w:val="00DA7C06"/>
    <w:rsid w:val="00DD1DDB"/>
    <w:rsid w:val="00E4523D"/>
    <w:rsid w:val="00E539D9"/>
    <w:rsid w:val="00E56368"/>
    <w:rsid w:val="00E63566"/>
    <w:rsid w:val="00E7510C"/>
    <w:rsid w:val="00EA104F"/>
    <w:rsid w:val="00EA50DE"/>
    <w:rsid w:val="00ED2332"/>
    <w:rsid w:val="00F01A67"/>
    <w:rsid w:val="00F20D8F"/>
    <w:rsid w:val="00F34B5B"/>
    <w:rsid w:val="00F71971"/>
    <w:rsid w:val="00F74C01"/>
    <w:rsid w:val="00F76F10"/>
    <w:rsid w:val="00F91597"/>
    <w:rsid w:val="00F96CA1"/>
    <w:rsid w:val="00FA59B5"/>
    <w:rsid w:val="00FC1A24"/>
    <w:rsid w:val="00FC6BE3"/>
    <w:rsid w:val="00FE401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386E7-A435-494D-A5A4-B30139E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59"/>
    <w:pPr>
      <w:spacing w:before="120" w:line="288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7DE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2E69"/>
    <w:pPr>
      <w:tabs>
        <w:tab w:val="center" w:pos="4536"/>
        <w:tab w:val="right" w:pos="9072"/>
      </w:tabs>
      <w:jc w:val="center"/>
    </w:pPr>
  </w:style>
  <w:style w:type="paragraph" w:styleId="Stopka">
    <w:name w:val="footer"/>
    <w:basedOn w:val="Normalny"/>
    <w:rsid w:val="00642E69"/>
    <w:pPr>
      <w:tabs>
        <w:tab w:val="center" w:pos="4536"/>
        <w:tab w:val="right" w:pos="9072"/>
      </w:tabs>
      <w:jc w:val="center"/>
    </w:pPr>
  </w:style>
  <w:style w:type="table" w:styleId="Tabela-Siatka">
    <w:name w:val="Table Grid"/>
    <w:basedOn w:val="Standardowy"/>
    <w:rsid w:val="007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AF17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AF172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AF1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1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5F5"/>
    <w:pPr>
      <w:ind w:left="720"/>
      <w:contextualSpacing/>
    </w:pPr>
  </w:style>
  <w:style w:type="character" w:styleId="Pogrubienie">
    <w:name w:val="Strong"/>
    <w:uiPriority w:val="22"/>
    <w:qFormat/>
    <w:rsid w:val="00C133B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71971"/>
    <w:pPr>
      <w:spacing w:after="120"/>
    </w:pPr>
    <w:rPr>
      <w:rFonts w:ascii="DB Office" w:hAnsi="DB Office"/>
      <w:color w:val="000000"/>
      <w:sz w:val="22"/>
      <w:szCs w:val="20"/>
      <w:lang w:val="de-DE" w:eastAsia="de-DE"/>
    </w:rPr>
  </w:style>
  <w:style w:type="character" w:customStyle="1" w:styleId="TekstpodstawowyZnak">
    <w:name w:val="Tekst podstawowy Znak"/>
    <w:link w:val="Tekstpodstawowy"/>
    <w:rsid w:val="00F71971"/>
    <w:rPr>
      <w:rFonts w:ascii="DB Office" w:hAnsi="DB Office"/>
      <w:color w:val="000000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A87DE1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718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ia.sent@mf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aria.sent@mf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57AA-F987-476C-AFDF-53F62748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papier_firmowy_2018</Template>
  <TotalTime>27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cp:lastModifiedBy>dyrektorIGTL</cp:lastModifiedBy>
  <cp:revision>1</cp:revision>
  <cp:lastPrinted>2018-09-10T12:29:00Z</cp:lastPrinted>
  <dcterms:created xsi:type="dcterms:W3CDTF">2018-09-10T12:20:00Z</dcterms:created>
  <dcterms:modified xsi:type="dcterms:W3CDTF">2018-09-10T12:50:00Z</dcterms:modified>
</cp:coreProperties>
</file>